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A02AF" w14:textId="3EA122C4" w:rsidR="005844AE" w:rsidRDefault="00F95B5F" w:rsidP="00B762BD">
      <w:pPr>
        <w:widowControl w:val="0"/>
        <w:autoSpaceDE w:val="0"/>
        <w:autoSpaceDN w:val="0"/>
        <w:adjustRightInd w:val="0"/>
        <w:jc w:val="center"/>
        <w:rPr>
          <w:rFonts w:asciiTheme="majorHAnsi" w:hAnsiTheme="majorHAnsi" w:cs="Calibri"/>
          <w:b/>
          <w:bCs/>
          <w:sz w:val="28"/>
          <w:szCs w:val="28"/>
        </w:rPr>
      </w:pPr>
      <w:r>
        <w:rPr>
          <w:rFonts w:asciiTheme="majorHAnsi" w:hAnsiTheme="majorHAnsi" w:cs="Calibri"/>
          <w:b/>
          <w:bCs/>
          <w:sz w:val="28"/>
          <w:szCs w:val="28"/>
        </w:rPr>
        <w:t xml:space="preserve">Minimum Standards </w:t>
      </w:r>
      <w:r w:rsidR="00A86BE9">
        <w:rPr>
          <w:rFonts w:asciiTheme="majorHAnsi" w:hAnsiTheme="majorHAnsi" w:cs="Calibri"/>
          <w:b/>
          <w:bCs/>
          <w:sz w:val="28"/>
          <w:szCs w:val="28"/>
        </w:rPr>
        <w:t>for</w:t>
      </w:r>
      <w:r w:rsidR="00495C96">
        <w:rPr>
          <w:rFonts w:asciiTheme="majorHAnsi" w:hAnsiTheme="majorHAnsi" w:cs="Calibri"/>
          <w:b/>
          <w:bCs/>
          <w:sz w:val="28"/>
          <w:szCs w:val="28"/>
        </w:rPr>
        <w:t xml:space="preserve"> </w:t>
      </w:r>
      <w:r w:rsidR="005844AE">
        <w:rPr>
          <w:rFonts w:asciiTheme="majorHAnsi" w:hAnsiTheme="majorHAnsi" w:cs="Calibri"/>
          <w:b/>
          <w:bCs/>
          <w:sz w:val="28"/>
          <w:szCs w:val="28"/>
        </w:rPr>
        <w:t>Partnership</w:t>
      </w:r>
    </w:p>
    <w:p w14:paraId="057D332A" w14:textId="4A887BDE" w:rsidR="004D44EE" w:rsidRDefault="005844AE" w:rsidP="00B762BD">
      <w:pPr>
        <w:widowControl w:val="0"/>
        <w:autoSpaceDE w:val="0"/>
        <w:autoSpaceDN w:val="0"/>
        <w:adjustRightInd w:val="0"/>
        <w:jc w:val="center"/>
        <w:rPr>
          <w:rFonts w:asciiTheme="majorHAnsi" w:hAnsiTheme="majorHAnsi" w:cs="Calibri"/>
          <w:b/>
          <w:bCs/>
        </w:rPr>
      </w:pPr>
      <w:r w:rsidRPr="005844AE">
        <w:rPr>
          <w:rFonts w:asciiTheme="majorHAnsi" w:hAnsiTheme="majorHAnsi" w:cs="Calibri"/>
          <w:b/>
          <w:bCs/>
        </w:rPr>
        <w:t xml:space="preserve">Developed by </w:t>
      </w:r>
      <w:r w:rsidR="001D317D" w:rsidRPr="005844AE">
        <w:rPr>
          <w:rFonts w:asciiTheme="majorHAnsi" w:hAnsiTheme="majorHAnsi" w:cs="Calibri"/>
          <w:b/>
          <w:bCs/>
        </w:rPr>
        <w:t xml:space="preserve">National NGOs </w:t>
      </w:r>
      <w:r w:rsidR="00495C96" w:rsidRPr="005844AE">
        <w:rPr>
          <w:rFonts w:asciiTheme="majorHAnsi" w:hAnsiTheme="majorHAnsi" w:cs="Calibri"/>
          <w:b/>
          <w:bCs/>
        </w:rPr>
        <w:t>for Refugee Response</w:t>
      </w:r>
      <w:r w:rsidR="00F95B5F" w:rsidRPr="005844AE">
        <w:rPr>
          <w:rFonts w:asciiTheme="majorHAnsi" w:hAnsiTheme="majorHAnsi" w:cs="Calibri"/>
          <w:b/>
          <w:bCs/>
        </w:rPr>
        <w:t xml:space="preserve"> in Turkey</w:t>
      </w:r>
    </w:p>
    <w:p w14:paraId="7104C4A5" w14:textId="77777777" w:rsidR="005844AE" w:rsidRPr="005844AE" w:rsidRDefault="005844AE" w:rsidP="005844AE">
      <w:pPr>
        <w:widowControl w:val="0"/>
        <w:pBdr>
          <w:bottom w:val="single" w:sz="4" w:space="1" w:color="auto"/>
        </w:pBdr>
        <w:autoSpaceDE w:val="0"/>
        <w:autoSpaceDN w:val="0"/>
        <w:adjustRightInd w:val="0"/>
        <w:jc w:val="center"/>
        <w:rPr>
          <w:rFonts w:asciiTheme="majorHAnsi" w:hAnsiTheme="majorHAnsi" w:cs="Calibri"/>
          <w:b/>
          <w:bCs/>
        </w:rPr>
      </w:pPr>
    </w:p>
    <w:p w14:paraId="309050F7" w14:textId="77777777" w:rsidR="00922215" w:rsidRPr="00116407" w:rsidRDefault="00922215" w:rsidP="001A52D7">
      <w:pPr>
        <w:widowControl w:val="0"/>
        <w:autoSpaceDE w:val="0"/>
        <w:autoSpaceDN w:val="0"/>
        <w:adjustRightInd w:val="0"/>
        <w:rPr>
          <w:rFonts w:asciiTheme="majorHAnsi" w:hAnsiTheme="majorHAnsi" w:cs="Calibri"/>
          <w:bCs/>
        </w:rPr>
      </w:pPr>
    </w:p>
    <w:p w14:paraId="2B7EEA93" w14:textId="1C499631" w:rsidR="00922215" w:rsidRPr="00116407" w:rsidRDefault="00922215" w:rsidP="00133434">
      <w:pPr>
        <w:widowControl w:val="0"/>
        <w:autoSpaceDE w:val="0"/>
        <w:autoSpaceDN w:val="0"/>
        <w:adjustRightInd w:val="0"/>
        <w:ind w:left="-284" w:right="-489"/>
        <w:rPr>
          <w:rFonts w:asciiTheme="majorHAnsi" w:hAnsiTheme="majorHAnsi" w:cs="Calibri"/>
          <w:bCs/>
        </w:rPr>
      </w:pPr>
      <w:r w:rsidRPr="00116407">
        <w:rPr>
          <w:rFonts w:asciiTheme="majorHAnsi" w:hAnsiTheme="majorHAnsi" w:cs="Calibri"/>
          <w:bCs/>
        </w:rPr>
        <w:t>Since the outbreak of violence in Syria</w:t>
      </w:r>
      <w:r w:rsidR="003653CC">
        <w:rPr>
          <w:rFonts w:asciiTheme="majorHAnsi" w:hAnsiTheme="majorHAnsi" w:cs="Calibri"/>
          <w:bCs/>
        </w:rPr>
        <w:t xml:space="preserve"> in 2011</w:t>
      </w:r>
      <w:r w:rsidRPr="00116407">
        <w:rPr>
          <w:rFonts w:asciiTheme="majorHAnsi" w:hAnsiTheme="majorHAnsi" w:cs="Calibri"/>
          <w:bCs/>
        </w:rPr>
        <w:t xml:space="preserve">, aid actors have been providing humanitarian </w:t>
      </w:r>
      <w:r w:rsidR="001D317D">
        <w:rPr>
          <w:rFonts w:asciiTheme="majorHAnsi" w:hAnsiTheme="majorHAnsi" w:cs="Calibri"/>
          <w:bCs/>
        </w:rPr>
        <w:t xml:space="preserve">and development </w:t>
      </w:r>
      <w:r w:rsidRPr="00116407">
        <w:rPr>
          <w:rFonts w:asciiTheme="majorHAnsi" w:hAnsiTheme="majorHAnsi" w:cs="Calibri"/>
          <w:bCs/>
        </w:rPr>
        <w:t>a</w:t>
      </w:r>
      <w:r w:rsidR="00786CA4">
        <w:rPr>
          <w:rFonts w:asciiTheme="majorHAnsi" w:hAnsiTheme="majorHAnsi" w:cs="Calibri"/>
          <w:bCs/>
        </w:rPr>
        <w:t xml:space="preserve">ssistance </w:t>
      </w:r>
      <w:r w:rsidRPr="00116407">
        <w:rPr>
          <w:rFonts w:asciiTheme="majorHAnsi" w:hAnsiTheme="majorHAnsi" w:cs="Calibri"/>
          <w:bCs/>
        </w:rPr>
        <w:t>to Syrian refugees in Turkey.  Local and national actors (L/NAs) have been playing a key role in the Syrian refugee response.</w:t>
      </w:r>
    </w:p>
    <w:p w14:paraId="12DF476E" w14:textId="77777777" w:rsidR="006A407F" w:rsidRDefault="006A407F" w:rsidP="00133434">
      <w:pPr>
        <w:widowControl w:val="0"/>
        <w:autoSpaceDE w:val="0"/>
        <w:autoSpaceDN w:val="0"/>
        <w:adjustRightInd w:val="0"/>
        <w:ind w:left="-284" w:right="-489"/>
        <w:rPr>
          <w:rFonts w:asciiTheme="majorHAnsi" w:hAnsiTheme="majorHAnsi" w:cs="Calibri"/>
          <w:bCs/>
        </w:rPr>
      </w:pPr>
    </w:p>
    <w:p w14:paraId="25C06ED7" w14:textId="1B53DC18" w:rsidR="00FF1746" w:rsidRDefault="00FF1746" w:rsidP="00133434">
      <w:pPr>
        <w:widowControl w:val="0"/>
        <w:autoSpaceDE w:val="0"/>
        <w:autoSpaceDN w:val="0"/>
        <w:adjustRightInd w:val="0"/>
        <w:ind w:left="-284" w:right="-489"/>
        <w:rPr>
          <w:rFonts w:asciiTheme="majorHAnsi" w:hAnsiTheme="majorHAnsi" w:cs="Calibri"/>
          <w:bCs/>
        </w:rPr>
      </w:pPr>
      <w:r>
        <w:rPr>
          <w:rFonts w:asciiTheme="majorHAnsi" w:hAnsiTheme="majorHAnsi" w:cs="Calibri"/>
          <w:bCs/>
        </w:rPr>
        <w:t xml:space="preserve">As a group of Turkish NGOs, we </w:t>
      </w:r>
      <w:r w:rsidR="006A407F" w:rsidRPr="00116407">
        <w:rPr>
          <w:rFonts w:asciiTheme="majorHAnsi" w:hAnsiTheme="majorHAnsi" w:cs="Calibri"/>
          <w:bCs/>
        </w:rPr>
        <w:t>have been partnering with donors, INGOs, UN agencies and other</w:t>
      </w:r>
      <w:r w:rsidR="00786CA4">
        <w:rPr>
          <w:rFonts w:asciiTheme="majorHAnsi" w:hAnsiTheme="majorHAnsi" w:cs="Calibri"/>
          <w:bCs/>
        </w:rPr>
        <w:t>s</w:t>
      </w:r>
      <w:r>
        <w:rPr>
          <w:rFonts w:asciiTheme="majorHAnsi" w:hAnsiTheme="majorHAnsi" w:cs="Calibri"/>
          <w:bCs/>
        </w:rPr>
        <w:t xml:space="preserve"> in our response to humanitarian needs of the Syrian population.  This </w:t>
      </w:r>
      <w:r w:rsidR="002A6087" w:rsidRPr="00116407">
        <w:rPr>
          <w:rFonts w:asciiTheme="majorHAnsi" w:hAnsiTheme="majorHAnsi" w:cs="Calibri"/>
          <w:bCs/>
        </w:rPr>
        <w:t>d</w:t>
      </w:r>
      <w:r w:rsidR="0045356F" w:rsidRPr="00116407">
        <w:rPr>
          <w:rFonts w:asciiTheme="majorHAnsi" w:hAnsiTheme="majorHAnsi" w:cs="Calibri"/>
          <w:bCs/>
        </w:rPr>
        <w:t xml:space="preserve">eclaration </w:t>
      </w:r>
      <w:r w:rsidR="002A6087" w:rsidRPr="00116407">
        <w:rPr>
          <w:rFonts w:asciiTheme="majorHAnsi" w:hAnsiTheme="majorHAnsi" w:cs="Calibri"/>
          <w:bCs/>
        </w:rPr>
        <w:t>ou</w:t>
      </w:r>
      <w:r w:rsidR="00786CA4">
        <w:rPr>
          <w:rFonts w:asciiTheme="majorHAnsi" w:hAnsiTheme="majorHAnsi" w:cs="Calibri"/>
          <w:bCs/>
        </w:rPr>
        <w:t xml:space="preserve">tlines the </w:t>
      </w:r>
      <w:r>
        <w:rPr>
          <w:rFonts w:asciiTheme="majorHAnsi" w:hAnsiTheme="majorHAnsi" w:cs="Calibri"/>
          <w:bCs/>
        </w:rPr>
        <w:t xml:space="preserve">minimum standards we would like to see in order for us to overcome the </w:t>
      </w:r>
      <w:r w:rsidR="00786CA4">
        <w:rPr>
          <w:rFonts w:asciiTheme="majorHAnsi" w:hAnsiTheme="majorHAnsi" w:cs="Calibri"/>
          <w:bCs/>
        </w:rPr>
        <w:t xml:space="preserve">financial, </w:t>
      </w:r>
      <w:r w:rsidR="00142EEA">
        <w:rPr>
          <w:rFonts w:asciiTheme="majorHAnsi" w:hAnsiTheme="majorHAnsi" w:cs="Calibri"/>
          <w:bCs/>
        </w:rPr>
        <w:t xml:space="preserve">contractual </w:t>
      </w:r>
      <w:r w:rsidR="00786CA4">
        <w:rPr>
          <w:rFonts w:asciiTheme="majorHAnsi" w:hAnsiTheme="majorHAnsi" w:cs="Calibri"/>
          <w:bCs/>
        </w:rPr>
        <w:t xml:space="preserve">and legal </w:t>
      </w:r>
      <w:r>
        <w:rPr>
          <w:rFonts w:asciiTheme="majorHAnsi" w:hAnsiTheme="majorHAnsi" w:cs="Calibri"/>
          <w:bCs/>
        </w:rPr>
        <w:t xml:space="preserve">risks we take </w:t>
      </w:r>
      <w:r w:rsidR="00B92A83">
        <w:rPr>
          <w:rFonts w:asciiTheme="majorHAnsi" w:hAnsiTheme="majorHAnsi" w:cs="Calibri"/>
          <w:bCs/>
        </w:rPr>
        <w:t xml:space="preserve">on </w:t>
      </w:r>
      <w:r>
        <w:rPr>
          <w:rFonts w:asciiTheme="majorHAnsi" w:hAnsiTheme="majorHAnsi" w:cs="Calibri"/>
          <w:bCs/>
        </w:rPr>
        <w:t>as implementing parnters on the ground.</w:t>
      </w:r>
    </w:p>
    <w:p w14:paraId="019C9873" w14:textId="77777777" w:rsidR="006863D8" w:rsidRPr="00116407" w:rsidRDefault="006863D8" w:rsidP="00133434">
      <w:pPr>
        <w:widowControl w:val="0"/>
        <w:autoSpaceDE w:val="0"/>
        <w:autoSpaceDN w:val="0"/>
        <w:adjustRightInd w:val="0"/>
        <w:ind w:left="-284" w:right="-489"/>
        <w:rPr>
          <w:rFonts w:asciiTheme="majorHAnsi" w:hAnsiTheme="majorHAnsi" w:cs="Calibri"/>
          <w:bCs/>
        </w:rPr>
      </w:pPr>
    </w:p>
    <w:p w14:paraId="2DCB4C9E" w14:textId="020FAFBA" w:rsidR="006863D8" w:rsidRPr="00B6115C" w:rsidRDefault="006863D8" w:rsidP="00133434">
      <w:pPr>
        <w:pStyle w:val="Balk3"/>
        <w:spacing w:before="0" w:beforeAutospacing="0" w:after="0" w:afterAutospacing="0" w:line="240" w:lineRule="atLeast"/>
        <w:ind w:left="-284" w:right="-489"/>
        <w:textAlignment w:val="baseline"/>
        <w:rPr>
          <w:rFonts w:asciiTheme="majorHAnsi" w:hAnsiTheme="majorHAnsi" w:cs="Calibri"/>
          <w:b w:val="0"/>
          <w:sz w:val="24"/>
          <w:szCs w:val="24"/>
          <w:lang w:val="tr-TR" w:eastAsia="en-US"/>
        </w:rPr>
      </w:pPr>
      <w:r w:rsidRPr="001029F3">
        <w:rPr>
          <w:rFonts w:asciiTheme="majorHAnsi" w:hAnsiTheme="majorHAnsi" w:cs="Calibri"/>
          <w:b w:val="0"/>
          <w:sz w:val="24"/>
          <w:szCs w:val="24"/>
          <w:lang w:val="tr-TR" w:eastAsia="en-US"/>
        </w:rPr>
        <w:t xml:space="preserve">It is imperative that the </w:t>
      </w:r>
      <w:r w:rsidR="002A6087" w:rsidRPr="001029F3">
        <w:rPr>
          <w:rFonts w:asciiTheme="majorHAnsi" w:hAnsiTheme="majorHAnsi" w:cs="Calibri"/>
          <w:b w:val="0"/>
          <w:sz w:val="24"/>
          <w:szCs w:val="24"/>
          <w:lang w:val="tr-TR" w:eastAsia="en-US"/>
        </w:rPr>
        <w:t>humanitarian/development</w:t>
      </w:r>
      <w:r w:rsidR="00892A02" w:rsidRPr="001029F3">
        <w:rPr>
          <w:rFonts w:asciiTheme="majorHAnsi" w:hAnsiTheme="majorHAnsi" w:cs="Calibri"/>
          <w:b w:val="0"/>
          <w:sz w:val="24"/>
          <w:szCs w:val="24"/>
          <w:lang w:val="tr-TR" w:eastAsia="en-US"/>
        </w:rPr>
        <w:t>/peace</w:t>
      </w:r>
      <w:r w:rsidR="002A6087" w:rsidRPr="001029F3">
        <w:rPr>
          <w:rFonts w:asciiTheme="majorHAnsi" w:hAnsiTheme="majorHAnsi" w:cs="Calibri"/>
          <w:b w:val="0"/>
          <w:sz w:val="24"/>
          <w:szCs w:val="24"/>
          <w:lang w:val="tr-TR" w:eastAsia="en-US"/>
        </w:rPr>
        <w:t xml:space="preserve"> response </w:t>
      </w:r>
      <w:r w:rsidRPr="001029F3">
        <w:rPr>
          <w:rFonts w:asciiTheme="majorHAnsi" w:hAnsiTheme="majorHAnsi" w:cs="Calibri"/>
          <w:b w:val="0"/>
          <w:sz w:val="24"/>
          <w:szCs w:val="24"/>
          <w:lang w:val="tr-TR" w:eastAsia="en-US"/>
        </w:rPr>
        <w:t xml:space="preserve">to the plight of refugees </w:t>
      </w:r>
      <w:r w:rsidR="00FC536F" w:rsidRPr="001029F3">
        <w:rPr>
          <w:rFonts w:asciiTheme="majorHAnsi" w:hAnsiTheme="majorHAnsi" w:cs="Calibri"/>
          <w:b w:val="0"/>
          <w:sz w:val="24"/>
          <w:szCs w:val="24"/>
          <w:lang w:val="tr-TR" w:eastAsia="en-US"/>
        </w:rPr>
        <w:t>in Turkey is</w:t>
      </w:r>
      <w:r w:rsidR="002A6087" w:rsidRPr="001029F3">
        <w:rPr>
          <w:rFonts w:asciiTheme="majorHAnsi" w:hAnsiTheme="majorHAnsi" w:cs="Calibri"/>
          <w:b w:val="0"/>
          <w:sz w:val="24"/>
          <w:szCs w:val="24"/>
          <w:lang w:val="tr-TR" w:eastAsia="en-US"/>
        </w:rPr>
        <w:t xml:space="preserve"> a sustainable </w:t>
      </w:r>
      <w:r w:rsidRPr="001029F3">
        <w:rPr>
          <w:rFonts w:asciiTheme="majorHAnsi" w:hAnsiTheme="majorHAnsi" w:cs="Calibri"/>
          <w:b w:val="0"/>
          <w:sz w:val="24"/>
          <w:szCs w:val="24"/>
          <w:lang w:val="tr-TR" w:eastAsia="en-US"/>
        </w:rPr>
        <w:t>one</w:t>
      </w:r>
      <w:r w:rsidR="002A6087" w:rsidRPr="001029F3">
        <w:rPr>
          <w:rFonts w:asciiTheme="majorHAnsi" w:hAnsiTheme="majorHAnsi" w:cs="Calibri"/>
          <w:b w:val="0"/>
          <w:sz w:val="24"/>
          <w:szCs w:val="24"/>
          <w:lang w:val="tr-TR" w:eastAsia="en-US"/>
        </w:rPr>
        <w:t xml:space="preserve">. </w:t>
      </w:r>
      <w:r w:rsidRPr="001029F3">
        <w:rPr>
          <w:rFonts w:asciiTheme="majorHAnsi" w:hAnsiTheme="majorHAnsi" w:cs="Calibri"/>
          <w:b w:val="0"/>
          <w:sz w:val="24"/>
          <w:szCs w:val="24"/>
          <w:lang w:val="tr-TR" w:eastAsia="en-US"/>
        </w:rPr>
        <w:t xml:space="preserve"> A </w:t>
      </w:r>
      <w:r w:rsidR="002A6087" w:rsidRPr="001029F3">
        <w:rPr>
          <w:rFonts w:asciiTheme="majorHAnsi" w:hAnsiTheme="majorHAnsi" w:cs="Calibri"/>
          <w:b w:val="0"/>
          <w:sz w:val="24"/>
          <w:szCs w:val="24"/>
          <w:lang w:val="tr-TR" w:eastAsia="en-US"/>
        </w:rPr>
        <w:t xml:space="preserve">sustainable </w:t>
      </w:r>
      <w:r w:rsidRPr="001029F3">
        <w:rPr>
          <w:rFonts w:asciiTheme="majorHAnsi" w:hAnsiTheme="majorHAnsi" w:cs="Calibri"/>
          <w:b w:val="0"/>
          <w:sz w:val="24"/>
          <w:szCs w:val="24"/>
          <w:lang w:val="tr-TR" w:eastAsia="en-US"/>
        </w:rPr>
        <w:t xml:space="preserve">response naturally </w:t>
      </w:r>
      <w:r w:rsidR="002A6087" w:rsidRPr="001029F3">
        <w:rPr>
          <w:rFonts w:asciiTheme="majorHAnsi" w:hAnsiTheme="majorHAnsi" w:cs="Calibri"/>
          <w:b w:val="0"/>
          <w:sz w:val="24"/>
          <w:szCs w:val="24"/>
          <w:lang w:val="tr-TR" w:eastAsia="en-US"/>
        </w:rPr>
        <w:t xml:space="preserve">requires </w:t>
      </w:r>
      <w:r w:rsidRPr="001029F3">
        <w:rPr>
          <w:rFonts w:asciiTheme="majorHAnsi" w:hAnsiTheme="majorHAnsi" w:cs="Calibri"/>
          <w:b w:val="0"/>
          <w:sz w:val="24"/>
          <w:szCs w:val="24"/>
          <w:lang w:val="tr-TR" w:eastAsia="en-US"/>
        </w:rPr>
        <w:t>a strong civil society with institutionally sound and sustainable</w:t>
      </w:r>
      <w:r w:rsidR="00063A75" w:rsidRPr="001029F3">
        <w:rPr>
          <w:rFonts w:asciiTheme="majorHAnsi" w:hAnsiTheme="majorHAnsi" w:cs="Calibri"/>
          <w:b w:val="0"/>
          <w:sz w:val="24"/>
          <w:szCs w:val="24"/>
          <w:lang w:val="tr-TR" w:eastAsia="en-US"/>
        </w:rPr>
        <w:t xml:space="preserve"> actors</w:t>
      </w:r>
      <w:r w:rsidRPr="001029F3">
        <w:rPr>
          <w:rFonts w:asciiTheme="majorHAnsi" w:hAnsiTheme="majorHAnsi" w:cs="Calibri"/>
          <w:b w:val="0"/>
          <w:sz w:val="24"/>
          <w:szCs w:val="24"/>
          <w:lang w:val="tr-TR" w:eastAsia="en-US"/>
        </w:rPr>
        <w:t>.</w:t>
      </w:r>
      <w:r w:rsidR="00E754B9" w:rsidRPr="001029F3">
        <w:rPr>
          <w:rFonts w:asciiTheme="majorHAnsi" w:hAnsiTheme="majorHAnsi" w:cs="Calibri"/>
          <w:b w:val="0"/>
          <w:sz w:val="24"/>
          <w:szCs w:val="24"/>
          <w:lang w:val="tr-TR" w:eastAsia="en-US"/>
        </w:rPr>
        <w:t xml:space="preserve">  </w:t>
      </w:r>
      <w:r w:rsidR="000F38DD" w:rsidRPr="001029F3">
        <w:rPr>
          <w:rFonts w:asciiTheme="majorHAnsi" w:hAnsiTheme="majorHAnsi" w:cs="Calibri"/>
          <w:b w:val="0"/>
          <w:sz w:val="24"/>
          <w:szCs w:val="24"/>
          <w:lang w:val="tr-TR" w:eastAsia="en-US"/>
        </w:rPr>
        <w:t xml:space="preserve">This fact has been acknowledged </w:t>
      </w:r>
      <w:r w:rsidR="00E754B9" w:rsidRPr="001029F3">
        <w:rPr>
          <w:rFonts w:asciiTheme="majorHAnsi" w:hAnsiTheme="majorHAnsi" w:cs="Calibri"/>
          <w:b w:val="0"/>
          <w:sz w:val="24"/>
          <w:szCs w:val="24"/>
          <w:lang w:val="tr-TR" w:eastAsia="en-US"/>
        </w:rPr>
        <w:t>at the World Humanitarian Summit</w:t>
      </w:r>
      <w:r w:rsidR="00E76A4B" w:rsidRPr="001029F3">
        <w:rPr>
          <w:rFonts w:asciiTheme="majorHAnsi" w:hAnsiTheme="majorHAnsi" w:cs="Calibri"/>
          <w:b w:val="0"/>
          <w:sz w:val="24"/>
          <w:szCs w:val="24"/>
          <w:lang w:val="tr-TR" w:eastAsia="en-US"/>
        </w:rPr>
        <w:t xml:space="preserve">, culminating with the </w:t>
      </w:r>
      <w:r w:rsidR="008E0914">
        <w:rPr>
          <w:rFonts w:asciiTheme="majorHAnsi" w:hAnsiTheme="majorHAnsi" w:cs="Calibri"/>
          <w:b w:val="0"/>
          <w:sz w:val="24"/>
          <w:szCs w:val="24"/>
          <w:lang w:val="tr-TR" w:eastAsia="en-US"/>
        </w:rPr>
        <w:t xml:space="preserve">signing of the </w:t>
      </w:r>
      <w:r w:rsidR="004D348D">
        <w:rPr>
          <w:rFonts w:asciiTheme="majorHAnsi" w:hAnsiTheme="majorHAnsi" w:cs="Calibri"/>
          <w:b w:val="0"/>
          <w:sz w:val="24"/>
          <w:szCs w:val="24"/>
          <w:lang w:val="tr-TR" w:eastAsia="en-US"/>
        </w:rPr>
        <w:t xml:space="preserve">Grand Bargain in which many donors, UN agencies and INGOs </w:t>
      </w:r>
      <w:r w:rsidR="001029F3" w:rsidRPr="001029F3">
        <w:rPr>
          <w:rFonts w:asciiTheme="majorHAnsi" w:hAnsiTheme="majorHAnsi" w:cs="Calibri"/>
          <w:b w:val="0"/>
          <w:sz w:val="24"/>
          <w:szCs w:val="24"/>
          <w:lang w:val="tr-TR" w:eastAsia="en-US"/>
        </w:rPr>
        <w:t>commit</w:t>
      </w:r>
      <w:r w:rsidR="004D348D">
        <w:rPr>
          <w:rFonts w:asciiTheme="majorHAnsi" w:hAnsiTheme="majorHAnsi" w:cs="Calibri"/>
          <w:b w:val="0"/>
          <w:sz w:val="24"/>
          <w:szCs w:val="24"/>
          <w:lang w:val="tr-TR" w:eastAsia="en-US"/>
        </w:rPr>
        <w:t xml:space="preserve"> </w:t>
      </w:r>
      <w:r w:rsidR="001029F3" w:rsidRPr="001029F3">
        <w:rPr>
          <w:rFonts w:asciiTheme="majorHAnsi" w:hAnsiTheme="majorHAnsi" w:cs="Calibri"/>
          <w:b w:val="0"/>
          <w:sz w:val="24"/>
          <w:szCs w:val="24"/>
          <w:lang w:val="tr-TR" w:eastAsia="en-US"/>
        </w:rPr>
        <w:t>to</w:t>
      </w:r>
      <w:r w:rsidR="004D348D">
        <w:rPr>
          <w:rFonts w:asciiTheme="majorHAnsi" w:hAnsiTheme="majorHAnsi" w:cs="Calibri"/>
          <w:b w:val="0"/>
          <w:sz w:val="24"/>
          <w:szCs w:val="24"/>
          <w:lang w:val="tr-TR" w:eastAsia="en-US"/>
        </w:rPr>
        <w:t xml:space="preserve"> providing</w:t>
      </w:r>
      <w:r w:rsidR="001029F3" w:rsidRPr="001029F3">
        <w:rPr>
          <w:rFonts w:asciiTheme="majorHAnsi" w:hAnsiTheme="majorHAnsi" w:cs="Calibri"/>
          <w:b w:val="0"/>
          <w:sz w:val="24"/>
          <w:szCs w:val="24"/>
          <w:lang w:val="tr-TR" w:eastAsia="en-US"/>
        </w:rPr>
        <w:t xml:space="preserve"> “</w:t>
      </w:r>
      <w:r w:rsidR="001029F3">
        <w:rPr>
          <w:rFonts w:asciiTheme="majorHAnsi" w:hAnsiTheme="majorHAnsi" w:cs="Calibri"/>
          <w:b w:val="0"/>
          <w:sz w:val="24"/>
          <w:szCs w:val="24"/>
          <w:lang w:val="tr-TR" w:eastAsia="en-US"/>
        </w:rPr>
        <w:t>m</w:t>
      </w:r>
      <w:r w:rsidR="001029F3" w:rsidRPr="001029F3">
        <w:rPr>
          <w:rFonts w:asciiTheme="majorHAnsi" w:hAnsiTheme="majorHAnsi" w:cs="Calibri"/>
          <w:b w:val="0"/>
          <w:sz w:val="24"/>
          <w:szCs w:val="24"/>
          <w:lang w:val="tr-TR" w:eastAsia="en-US"/>
        </w:rPr>
        <w:t>ore support and funding tools for local and national responders</w:t>
      </w:r>
      <w:r w:rsidR="001029F3">
        <w:rPr>
          <w:rFonts w:asciiTheme="majorHAnsi" w:hAnsiTheme="majorHAnsi" w:cs="Calibri"/>
          <w:b w:val="0"/>
          <w:sz w:val="24"/>
          <w:szCs w:val="24"/>
          <w:lang w:val="tr-TR" w:eastAsia="en-US"/>
        </w:rPr>
        <w:t>”</w:t>
      </w:r>
      <w:r w:rsidR="00E754B9" w:rsidRPr="00B6115C">
        <w:rPr>
          <w:rFonts w:asciiTheme="majorHAnsi" w:hAnsiTheme="majorHAnsi" w:cs="Calibri"/>
          <w:b w:val="0"/>
          <w:sz w:val="24"/>
          <w:szCs w:val="24"/>
          <w:lang w:val="tr-TR" w:eastAsia="en-US"/>
        </w:rPr>
        <w:t xml:space="preserve">. </w:t>
      </w:r>
      <w:r w:rsidR="000F38DD" w:rsidRPr="00B6115C">
        <w:rPr>
          <w:rFonts w:asciiTheme="majorHAnsi" w:hAnsiTheme="majorHAnsi" w:cs="Calibri"/>
          <w:b w:val="0"/>
          <w:sz w:val="24"/>
          <w:szCs w:val="24"/>
          <w:lang w:val="tr-TR" w:eastAsia="en-US"/>
        </w:rPr>
        <w:t xml:space="preserve"> Since then, discussions on localization have intensified.</w:t>
      </w:r>
    </w:p>
    <w:p w14:paraId="2003B08B" w14:textId="77777777" w:rsidR="006B56D7" w:rsidRDefault="006B56D7" w:rsidP="00133434">
      <w:pPr>
        <w:widowControl w:val="0"/>
        <w:autoSpaceDE w:val="0"/>
        <w:autoSpaceDN w:val="0"/>
        <w:adjustRightInd w:val="0"/>
        <w:ind w:left="-284" w:right="-489"/>
        <w:rPr>
          <w:rFonts w:asciiTheme="majorHAnsi" w:hAnsiTheme="majorHAnsi" w:cs="Calibri"/>
          <w:bCs/>
        </w:rPr>
      </w:pPr>
    </w:p>
    <w:p w14:paraId="3768AEDB" w14:textId="25AF7008" w:rsidR="00116407" w:rsidRPr="00116407" w:rsidRDefault="006B56D7" w:rsidP="00133434">
      <w:pPr>
        <w:widowControl w:val="0"/>
        <w:autoSpaceDE w:val="0"/>
        <w:autoSpaceDN w:val="0"/>
        <w:adjustRightInd w:val="0"/>
        <w:ind w:left="-284" w:right="-489"/>
        <w:rPr>
          <w:rFonts w:asciiTheme="majorHAnsi" w:hAnsiTheme="majorHAnsi" w:cs="Calibri"/>
          <w:bCs/>
        </w:rPr>
      </w:pPr>
      <w:r w:rsidRPr="006B56D7">
        <w:rPr>
          <w:rFonts w:asciiTheme="majorHAnsi" w:hAnsiTheme="majorHAnsi" w:cs="Calibri"/>
          <w:bCs/>
        </w:rPr>
        <w:t xml:space="preserve">For a sustained institutional and operational structure in response to refugees in Turkey we find </w:t>
      </w:r>
      <w:r>
        <w:rPr>
          <w:rFonts w:asciiTheme="majorHAnsi" w:hAnsiTheme="majorHAnsi" w:cs="Calibri"/>
          <w:bCs/>
        </w:rPr>
        <w:t xml:space="preserve">that is time for a shift from subcontracting to </w:t>
      </w:r>
      <w:r w:rsidR="007964F3">
        <w:rPr>
          <w:rFonts w:asciiTheme="majorHAnsi" w:hAnsiTheme="majorHAnsi" w:cs="Calibri"/>
          <w:bCs/>
        </w:rPr>
        <w:t xml:space="preserve">equal </w:t>
      </w:r>
      <w:r>
        <w:rPr>
          <w:rFonts w:asciiTheme="majorHAnsi" w:hAnsiTheme="majorHAnsi" w:cs="Calibri"/>
          <w:bCs/>
        </w:rPr>
        <w:t>partnership agreements</w:t>
      </w:r>
      <w:r w:rsidR="008E0914">
        <w:rPr>
          <w:rFonts w:asciiTheme="majorHAnsi" w:hAnsiTheme="majorHAnsi" w:cs="Calibri"/>
          <w:bCs/>
        </w:rPr>
        <w:t xml:space="preserve">. The </w:t>
      </w:r>
      <w:r>
        <w:rPr>
          <w:rFonts w:asciiTheme="majorHAnsi" w:hAnsiTheme="majorHAnsi" w:cs="Calibri"/>
          <w:bCs/>
        </w:rPr>
        <w:t>criteria</w:t>
      </w:r>
      <w:r w:rsidRPr="006B56D7">
        <w:rPr>
          <w:rFonts w:asciiTheme="majorHAnsi" w:hAnsiTheme="majorHAnsi" w:cs="Calibri"/>
          <w:bCs/>
        </w:rPr>
        <w:t xml:space="preserve"> listed below </w:t>
      </w:r>
      <w:r w:rsidR="008E0914">
        <w:rPr>
          <w:rFonts w:asciiTheme="majorHAnsi" w:hAnsiTheme="majorHAnsi" w:cs="Calibri"/>
          <w:bCs/>
        </w:rPr>
        <w:t>are</w:t>
      </w:r>
      <w:r w:rsidRPr="006B56D7">
        <w:rPr>
          <w:rFonts w:asciiTheme="majorHAnsi" w:hAnsiTheme="majorHAnsi" w:cs="Calibri"/>
          <w:bCs/>
        </w:rPr>
        <w:t xml:space="preserve"> crucial for </w:t>
      </w:r>
      <w:r>
        <w:rPr>
          <w:rFonts w:asciiTheme="majorHAnsi" w:hAnsiTheme="majorHAnsi" w:cs="Calibri"/>
          <w:bCs/>
        </w:rPr>
        <w:t xml:space="preserve">the </w:t>
      </w:r>
      <w:r w:rsidR="008E0914">
        <w:rPr>
          <w:rFonts w:asciiTheme="majorHAnsi" w:hAnsiTheme="majorHAnsi" w:cs="Calibri"/>
          <w:bCs/>
        </w:rPr>
        <w:t xml:space="preserve">equitable </w:t>
      </w:r>
      <w:r>
        <w:rPr>
          <w:rFonts w:asciiTheme="majorHAnsi" w:hAnsiTheme="majorHAnsi" w:cs="Calibri"/>
          <w:bCs/>
        </w:rPr>
        <w:t>co</w:t>
      </w:r>
      <w:r w:rsidR="008E0914">
        <w:rPr>
          <w:rFonts w:asciiTheme="majorHAnsi" w:hAnsiTheme="majorHAnsi" w:cs="Calibri"/>
          <w:bCs/>
        </w:rPr>
        <w:t xml:space="preserve">llaboration and management of risks for </w:t>
      </w:r>
      <w:r w:rsidRPr="006B56D7">
        <w:rPr>
          <w:rFonts w:asciiTheme="majorHAnsi" w:hAnsiTheme="majorHAnsi" w:cs="Calibri"/>
          <w:bCs/>
        </w:rPr>
        <w:t xml:space="preserve">local and national NGOs in Turkey </w:t>
      </w:r>
      <w:r w:rsidR="008E0914">
        <w:rPr>
          <w:rFonts w:asciiTheme="majorHAnsi" w:hAnsiTheme="majorHAnsi" w:cs="Calibri"/>
          <w:bCs/>
        </w:rPr>
        <w:t xml:space="preserve">in </w:t>
      </w:r>
      <w:r w:rsidRPr="006B56D7">
        <w:rPr>
          <w:rFonts w:asciiTheme="majorHAnsi" w:hAnsiTheme="majorHAnsi" w:cs="Calibri"/>
          <w:bCs/>
        </w:rPr>
        <w:t>their partners</w:t>
      </w:r>
      <w:r w:rsidR="008E0914">
        <w:rPr>
          <w:rFonts w:asciiTheme="majorHAnsi" w:hAnsiTheme="majorHAnsi" w:cs="Calibri"/>
          <w:bCs/>
        </w:rPr>
        <w:t xml:space="preserve">hips with </w:t>
      </w:r>
      <w:r w:rsidRPr="006B56D7">
        <w:rPr>
          <w:rFonts w:asciiTheme="majorHAnsi" w:hAnsiTheme="majorHAnsi" w:cs="Calibri"/>
          <w:bCs/>
        </w:rPr>
        <w:t>donors, INGOs, UN agencies and other</w:t>
      </w:r>
      <w:r w:rsidR="008E0914">
        <w:rPr>
          <w:rFonts w:asciiTheme="majorHAnsi" w:hAnsiTheme="majorHAnsi" w:cs="Calibri"/>
          <w:bCs/>
        </w:rPr>
        <w:t>s</w:t>
      </w:r>
      <w:r w:rsidRPr="006B56D7">
        <w:rPr>
          <w:rFonts w:asciiTheme="majorHAnsi" w:hAnsiTheme="majorHAnsi" w:cs="Calibri"/>
          <w:bCs/>
        </w:rPr>
        <w:t>.</w:t>
      </w:r>
      <w:r>
        <w:rPr>
          <w:rFonts w:asciiTheme="majorHAnsi" w:hAnsiTheme="majorHAnsi" w:cs="Calibri"/>
          <w:bCs/>
        </w:rPr>
        <w:t xml:space="preserve"> </w:t>
      </w:r>
    </w:p>
    <w:p w14:paraId="4C57647A" w14:textId="77777777" w:rsidR="006457CD" w:rsidRDefault="006457CD" w:rsidP="00133434">
      <w:pPr>
        <w:ind w:left="-284" w:right="-489"/>
        <w:rPr>
          <w:rFonts w:asciiTheme="majorHAnsi" w:eastAsia="Times New Roman" w:hAnsiTheme="majorHAnsi" w:cs="Times New Roman"/>
          <w:color w:val="222222"/>
          <w:sz w:val="19"/>
          <w:szCs w:val="19"/>
          <w:shd w:val="clear" w:color="auto" w:fill="FFFFFF"/>
        </w:rPr>
      </w:pPr>
    </w:p>
    <w:p w14:paraId="4FB685AB" w14:textId="77777777" w:rsidR="001A52D7" w:rsidRPr="006457CD" w:rsidRDefault="006457CD" w:rsidP="00133434">
      <w:pPr>
        <w:ind w:left="-284" w:right="-489"/>
        <w:rPr>
          <w:rFonts w:asciiTheme="majorHAnsi" w:hAnsiTheme="majorHAnsi" w:cs="Calibri"/>
          <w:b/>
          <w:bCs/>
          <w:sz w:val="28"/>
          <w:szCs w:val="28"/>
        </w:rPr>
      </w:pPr>
      <w:r w:rsidRPr="006457CD">
        <w:rPr>
          <w:rFonts w:asciiTheme="majorHAnsi" w:hAnsiTheme="majorHAnsi" w:cs="Calibri"/>
          <w:b/>
          <w:bCs/>
          <w:sz w:val="28"/>
          <w:szCs w:val="28"/>
        </w:rPr>
        <w:t xml:space="preserve">1. </w:t>
      </w:r>
      <w:r w:rsidR="004D44EE" w:rsidRPr="004D44EE">
        <w:rPr>
          <w:rFonts w:asciiTheme="majorHAnsi" w:hAnsiTheme="majorHAnsi" w:cs="Calibri"/>
          <w:b/>
          <w:bCs/>
          <w:sz w:val="28"/>
          <w:szCs w:val="28"/>
        </w:rPr>
        <w:t>Severance Obligations and Other Liabilities</w:t>
      </w:r>
    </w:p>
    <w:p w14:paraId="2832D9CC" w14:textId="77777777" w:rsidR="00154617" w:rsidRPr="00116407" w:rsidRDefault="00154617" w:rsidP="00133434">
      <w:pPr>
        <w:widowControl w:val="0"/>
        <w:autoSpaceDE w:val="0"/>
        <w:autoSpaceDN w:val="0"/>
        <w:adjustRightInd w:val="0"/>
        <w:ind w:left="-284" w:right="-489"/>
        <w:rPr>
          <w:rFonts w:asciiTheme="majorHAnsi" w:hAnsiTheme="majorHAnsi" w:cs="Calibri"/>
        </w:rPr>
      </w:pPr>
    </w:p>
    <w:p w14:paraId="41DA376F" w14:textId="4B64B84C" w:rsidR="004D44EE" w:rsidRPr="00116407" w:rsidRDefault="00E86E77" w:rsidP="00133434">
      <w:pPr>
        <w:widowControl w:val="0"/>
        <w:autoSpaceDE w:val="0"/>
        <w:autoSpaceDN w:val="0"/>
        <w:adjustRightInd w:val="0"/>
        <w:ind w:left="-284" w:right="-489"/>
        <w:rPr>
          <w:rFonts w:asciiTheme="majorHAnsi" w:hAnsiTheme="majorHAnsi" w:cs="`˝¸Xˇ"/>
          <w:lang w:val="en-GB"/>
        </w:rPr>
      </w:pPr>
      <w:r w:rsidRPr="00116407">
        <w:rPr>
          <w:rFonts w:asciiTheme="majorHAnsi" w:hAnsiTheme="majorHAnsi" w:cs="`˝¸Xˇ"/>
          <w:lang w:val="en-GB"/>
        </w:rPr>
        <w:t>In Turkey, s</w:t>
      </w:r>
      <w:r w:rsidR="004D44EE" w:rsidRPr="00116407">
        <w:rPr>
          <w:rFonts w:asciiTheme="majorHAnsi" w:hAnsiTheme="majorHAnsi" w:cs="`˝¸Xˇ"/>
          <w:lang w:val="en-GB"/>
        </w:rPr>
        <w:t xml:space="preserve">everance payment to staff is due in the event that employment contracts of staff are terminated by the employer for reasons other than those set forth in Article 25/II of the </w:t>
      </w:r>
      <w:r w:rsidR="0090048C">
        <w:rPr>
          <w:rFonts w:asciiTheme="majorHAnsi" w:hAnsiTheme="majorHAnsi" w:cs="`˝¸Xˇ"/>
          <w:lang w:val="en-GB"/>
        </w:rPr>
        <w:t xml:space="preserve">Turkish </w:t>
      </w:r>
      <w:r w:rsidR="004D44EE" w:rsidRPr="00116407">
        <w:rPr>
          <w:rFonts w:asciiTheme="majorHAnsi" w:hAnsiTheme="majorHAnsi" w:cs="`˝¸Xˇ"/>
          <w:lang w:val="en-GB"/>
        </w:rPr>
        <w:t>Labour Law No. 4857, which regulates employee’s inappropriate and dishonorable cond</w:t>
      </w:r>
      <w:r w:rsidR="00900534" w:rsidRPr="00116407">
        <w:rPr>
          <w:rFonts w:asciiTheme="majorHAnsi" w:hAnsiTheme="majorHAnsi" w:cs="`˝¸Xˇ"/>
          <w:lang w:val="en-GB"/>
        </w:rPr>
        <w:t xml:space="preserve">uct or similar behavior.  For </w:t>
      </w:r>
      <w:r w:rsidR="004D44EE" w:rsidRPr="00116407">
        <w:rPr>
          <w:rFonts w:asciiTheme="majorHAnsi" w:hAnsiTheme="majorHAnsi" w:cs="`˝¸Xˇ"/>
          <w:lang w:val="en-GB"/>
        </w:rPr>
        <w:t>L</w:t>
      </w:r>
      <w:r w:rsidR="00900534" w:rsidRPr="00116407">
        <w:rPr>
          <w:rFonts w:asciiTheme="majorHAnsi" w:hAnsiTheme="majorHAnsi" w:cs="`˝¸Xˇ"/>
          <w:lang w:val="en-GB"/>
        </w:rPr>
        <w:t>/NAs</w:t>
      </w:r>
      <w:r w:rsidR="004D44EE" w:rsidRPr="00116407">
        <w:rPr>
          <w:rFonts w:asciiTheme="majorHAnsi" w:hAnsiTheme="majorHAnsi" w:cs="`˝¸Xˇ"/>
          <w:lang w:val="en-GB"/>
        </w:rPr>
        <w:t>, such termination mostly takes place at the end of a project.  Sometimes staff carry on to take responsibilities in other projects</w:t>
      </w:r>
      <w:r w:rsidR="002F044C" w:rsidRPr="00116407">
        <w:rPr>
          <w:rFonts w:asciiTheme="majorHAnsi" w:hAnsiTheme="majorHAnsi" w:cs="`˝¸Xˇ"/>
          <w:lang w:val="en-GB"/>
        </w:rPr>
        <w:t xml:space="preserve"> of the L/NA</w:t>
      </w:r>
      <w:r w:rsidR="004D44EE" w:rsidRPr="00116407">
        <w:rPr>
          <w:rFonts w:asciiTheme="majorHAnsi" w:hAnsiTheme="majorHAnsi" w:cs="`˝¸Xˇ"/>
          <w:lang w:val="en-GB"/>
        </w:rPr>
        <w:t>.  Severance is not paid in the event that the staff member gives notice of termination to the employer, in other terms if the staff resigns.</w:t>
      </w:r>
    </w:p>
    <w:p w14:paraId="6B8D6C5F" w14:textId="77777777" w:rsidR="004D44EE" w:rsidRPr="00116407" w:rsidRDefault="004D44EE" w:rsidP="00133434">
      <w:pPr>
        <w:widowControl w:val="0"/>
        <w:autoSpaceDE w:val="0"/>
        <w:autoSpaceDN w:val="0"/>
        <w:adjustRightInd w:val="0"/>
        <w:ind w:left="-284" w:right="-489"/>
        <w:rPr>
          <w:rFonts w:asciiTheme="majorHAnsi" w:hAnsiTheme="majorHAnsi" w:cs="`˝¸Xˇ"/>
          <w:lang w:val="en-GB"/>
        </w:rPr>
      </w:pPr>
    </w:p>
    <w:p w14:paraId="2B836A8E" w14:textId="6BA0514C" w:rsidR="004D44EE" w:rsidRPr="00116407" w:rsidRDefault="004D44EE" w:rsidP="00133434">
      <w:pPr>
        <w:widowControl w:val="0"/>
        <w:autoSpaceDE w:val="0"/>
        <w:autoSpaceDN w:val="0"/>
        <w:adjustRightInd w:val="0"/>
        <w:ind w:left="-284" w:right="-489"/>
        <w:rPr>
          <w:rFonts w:asciiTheme="majorHAnsi" w:hAnsiTheme="majorHAnsi" w:cs="`˝¸Xˇ"/>
          <w:lang w:val="en-GB"/>
        </w:rPr>
      </w:pPr>
      <w:r w:rsidRPr="00116407">
        <w:rPr>
          <w:rFonts w:asciiTheme="majorHAnsi" w:hAnsiTheme="majorHAnsi" w:cs="`˝¸Xˇ"/>
          <w:lang w:val="en-GB"/>
        </w:rPr>
        <w:t xml:space="preserve">The staff member needs to be employed for a minimum of one year at the same or different work places of the employer in order to be entitled to severance pay.  All periods during which the employment contract continued is included in the calculation of the severance pay.  Thus, the periods during which the staff does not work, but the employment contract continues or the employment contract is suspended such as periods of annual paid leave, maternity leaves, leaves agreed by and between the parties, certain periods of illness as regulated under the Labour Law No. 4857, weekends, national and public holidays are </w:t>
      </w:r>
      <w:r w:rsidR="007F2F4F" w:rsidRPr="00116407">
        <w:rPr>
          <w:rFonts w:asciiTheme="majorHAnsi" w:hAnsiTheme="majorHAnsi" w:cs="`˝¸Xˇ"/>
          <w:lang w:val="en-GB"/>
        </w:rPr>
        <w:t xml:space="preserve">taken into account </w:t>
      </w:r>
      <w:r w:rsidRPr="00116407">
        <w:rPr>
          <w:rFonts w:asciiTheme="majorHAnsi" w:hAnsiTheme="majorHAnsi" w:cs="`˝¸Xˇ"/>
          <w:lang w:val="en-GB"/>
        </w:rPr>
        <w:t>in calculating the severance pay.</w:t>
      </w:r>
    </w:p>
    <w:p w14:paraId="6B9B8EBE" w14:textId="77777777" w:rsidR="004D44EE" w:rsidRPr="00116407" w:rsidRDefault="004D44EE" w:rsidP="00133434">
      <w:pPr>
        <w:widowControl w:val="0"/>
        <w:autoSpaceDE w:val="0"/>
        <w:autoSpaceDN w:val="0"/>
        <w:adjustRightInd w:val="0"/>
        <w:ind w:left="-284" w:right="-489"/>
        <w:rPr>
          <w:rFonts w:asciiTheme="majorHAnsi" w:hAnsiTheme="majorHAnsi" w:cs="`˝¸Xˇ"/>
          <w:lang w:val="en-GB"/>
        </w:rPr>
      </w:pPr>
    </w:p>
    <w:p w14:paraId="23A3A524" w14:textId="6E66294A" w:rsidR="00E37D6A" w:rsidRDefault="00E03A05" w:rsidP="00133434">
      <w:pPr>
        <w:widowControl w:val="0"/>
        <w:autoSpaceDE w:val="0"/>
        <w:autoSpaceDN w:val="0"/>
        <w:adjustRightInd w:val="0"/>
        <w:ind w:left="-284" w:right="-489"/>
        <w:rPr>
          <w:rFonts w:asciiTheme="majorHAnsi" w:hAnsiTheme="majorHAnsi" w:cs="`˝¸Xˇ"/>
          <w:lang w:val="en-GB"/>
        </w:rPr>
      </w:pPr>
      <w:r w:rsidRPr="00907208">
        <w:rPr>
          <w:rFonts w:asciiTheme="majorHAnsi" w:hAnsiTheme="majorHAnsi" w:cs="`˝¸Xˇ"/>
          <w:lang w:val="en-GB"/>
        </w:rPr>
        <w:t>The employer integrates</w:t>
      </w:r>
      <w:r w:rsidR="004D44EE" w:rsidRPr="00907208">
        <w:rPr>
          <w:rFonts w:asciiTheme="majorHAnsi" w:hAnsiTheme="majorHAnsi" w:cs="`˝¸Xˇ"/>
          <w:lang w:val="en-GB"/>
        </w:rPr>
        <w:t xml:space="preserve"> severance </w:t>
      </w:r>
      <w:r w:rsidR="00A83BA7" w:rsidRPr="00907208">
        <w:rPr>
          <w:rFonts w:asciiTheme="majorHAnsi" w:hAnsiTheme="majorHAnsi" w:cs="`˝¸Xˇ"/>
          <w:lang w:val="en-GB"/>
        </w:rPr>
        <w:t xml:space="preserve">calculations </w:t>
      </w:r>
      <w:r w:rsidR="004D44EE" w:rsidRPr="00907208">
        <w:rPr>
          <w:rFonts w:asciiTheme="majorHAnsi" w:hAnsiTheme="majorHAnsi" w:cs="`˝¸Xˇ"/>
          <w:lang w:val="en-GB"/>
        </w:rPr>
        <w:t>into all project budgets.  Staff salaries are calculated in gross, with social security, income tax</w:t>
      </w:r>
      <w:r w:rsidR="0090048C">
        <w:rPr>
          <w:rFonts w:asciiTheme="majorHAnsi" w:hAnsiTheme="majorHAnsi" w:cs="`˝¸Xˇ"/>
          <w:lang w:val="en-GB"/>
        </w:rPr>
        <w:t xml:space="preserve"> and other liabilities included. </w:t>
      </w:r>
      <w:r w:rsidR="00E37D6A" w:rsidRPr="00116407">
        <w:rPr>
          <w:rFonts w:asciiTheme="majorHAnsi" w:hAnsiTheme="majorHAnsi" w:cs="`˝¸Xˇ"/>
          <w:lang w:val="en-GB"/>
        </w:rPr>
        <w:t xml:space="preserve">At the </w:t>
      </w:r>
      <w:r w:rsidR="00E37D6A" w:rsidRPr="00116407">
        <w:rPr>
          <w:rFonts w:asciiTheme="majorHAnsi" w:hAnsiTheme="majorHAnsi" w:cs="`˝¸Xˇ"/>
          <w:lang w:val="en-GB"/>
        </w:rPr>
        <w:lastRenderedPageBreak/>
        <w:t>closing of each month, the employer allocates the relevant monthly share of severance obligation for each project staff into a blocked bank account</w:t>
      </w:r>
      <w:r w:rsidR="00E37D6A">
        <w:rPr>
          <w:rFonts w:asciiTheme="majorHAnsi" w:hAnsiTheme="majorHAnsi" w:cs="`˝¸Xˇ"/>
          <w:lang w:val="en-GB"/>
        </w:rPr>
        <w:t xml:space="preserve"> (severance fund) </w:t>
      </w:r>
      <w:r w:rsidR="00E37D6A" w:rsidRPr="00116407">
        <w:rPr>
          <w:rFonts w:asciiTheme="majorHAnsi" w:hAnsiTheme="majorHAnsi" w:cs="`˝¸Xˇ"/>
          <w:lang w:val="en-GB"/>
        </w:rPr>
        <w:t>and shown as such in the accountancy</w:t>
      </w:r>
      <w:r w:rsidR="00E37D6A">
        <w:rPr>
          <w:rFonts w:asciiTheme="majorHAnsi" w:hAnsiTheme="majorHAnsi" w:cs="`˝¸Xˇ"/>
          <w:lang w:val="en-GB"/>
        </w:rPr>
        <w:t>.</w:t>
      </w:r>
    </w:p>
    <w:p w14:paraId="537F10D7" w14:textId="3A532AF4" w:rsidR="00E37D6A" w:rsidRDefault="00E37D6A" w:rsidP="00133434">
      <w:pPr>
        <w:widowControl w:val="0"/>
        <w:autoSpaceDE w:val="0"/>
        <w:autoSpaceDN w:val="0"/>
        <w:adjustRightInd w:val="0"/>
        <w:ind w:left="-284" w:right="-489"/>
        <w:rPr>
          <w:rFonts w:asciiTheme="majorHAnsi" w:hAnsiTheme="majorHAnsi" w:cs="`˝¸Xˇ"/>
          <w:lang w:val="en-GB"/>
        </w:rPr>
      </w:pPr>
    </w:p>
    <w:p w14:paraId="03BF55FB" w14:textId="739B2DF2" w:rsidR="00E37D6A" w:rsidRDefault="00E37D6A" w:rsidP="00133434">
      <w:pPr>
        <w:widowControl w:val="0"/>
        <w:autoSpaceDE w:val="0"/>
        <w:autoSpaceDN w:val="0"/>
        <w:adjustRightInd w:val="0"/>
        <w:ind w:left="-284" w:right="-489"/>
        <w:rPr>
          <w:rFonts w:asciiTheme="majorHAnsi" w:hAnsiTheme="majorHAnsi" w:cs="`˝¸Xˇ"/>
          <w:lang w:val="en-GB"/>
        </w:rPr>
      </w:pPr>
      <w:r w:rsidRPr="00116407">
        <w:rPr>
          <w:rFonts w:asciiTheme="majorHAnsi" w:hAnsiTheme="majorHAnsi" w:cs="`˝¸Xˇ"/>
          <w:lang w:val="en-GB"/>
        </w:rPr>
        <w:t xml:space="preserve">For staff whose contract is terminated by the employer, </w:t>
      </w:r>
      <w:r>
        <w:rPr>
          <w:rFonts w:asciiTheme="majorHAnsi" w:hAnsiTheme="majorHAnsi" w:cs="`˝¸Xˇ"/>
          <w:lang w:val="en-GB"/>
        </w:rPr>
        <w:t xml:space="preserve">or is entitled </w:t>
      </w:r>
      <w:r w:rsidR="003062D0">
        <w:rPr>
          <w:rFonts w:asciiTheme="majorHAnsi" w:hAnsiTheme="majorHAnsi" w:cs="`˝¸Xˇ"/>
          <w:lang w:val="en-GB"/>
        </w:rPr>
        <w:t xml:space="preserve">to </w:t>
      </w:r>
      <w:r>
        <w:rPr>
          <w:rFonts w:asciiTheme="majorHAnsi" w:hAnsiTheme="majorHAnsi" w:cs="`˝¸Xˇ"/>
          <w:lang w:val="en-GB"/>
        </w:rPr>
        <w:t xml:space="preserve">severance because of retirement or military service or any other reason stated in the Law, </w:t>
      </w:r>
      <w:r w:rsidRPr="00116407">
        <w:rPr>
          <w:rFonts w:asciiTheme="majorHAnsi" w:hAnsiTheme="majorHAnsi" w:cs="`˝¸Xˇ"/>
          <w:lang w:val="en-GB"/>
        </w:rPr>
        <w:t>the amount adding up to the severance payment will be paid from t</w:t>
      </w:r>
      <w:r>
        <w:rPr>
          <w:rFonts w:asciiTheme="majorHAnsi" w:hAnsiTheme="majorHAnsi" w:cs="`˝¸Xˇ"/>
          <w:lang w:val="en-GB"/>
        </w:rPr>
        <w:t>he blocked bank account</w:t>
      </w:r>
      <w:r w:rsidRPr="00116407">
        <w:rPr>
          <w:rFonts w:asciiTheme="majorHAnsi" w:hAnsiTheme="majorHAnsi" w:cs="`˝¸Xˇ"/>
          <w:lang w:val="en-GB"/>
        </w:rPr>
        <w:t xml:space="preserve">. </w:t>
      </w:r>
      <w:r w:rsidR="009A61DB">
        <w:rPr>
          <w:rFonts w:asciiTheme="majorHAnsi" w:hAnsiTheme="majorHAnsi" w:cs="`˝¸Xˇ"/>
          <w:lang w:val="en-GB"/>
        </w:rPr>
        <w:t>For staff who have</w:t>
      </w:r>
      <w:r>
        <w:rPr>
          <w:rFonts w:asciiTheme="majorHAnsi" w:hAnsiTheme="majorHAnsi" w:cs="`˝¸Xˇ"/>
          <w:lang w:val="en-GB"/>
        </w:rPr>
        <w:t xml:space="preserve"> worked continuo</w:t>
      </w:r>
      <w:r w:rsidR="009A61DB">
        <w:rPr>
          <w:rFonts w:asciiTheme="majorHAnsi" w:hAnsiTheme="majorHAnsi" w:cs="`˝¸Xˇ"/>
          <w:lang w:val="en-GB"/>
        </w:rPr>
        <w:t>u</w:t>
      </w:r>
      <w:r>
        <w:rPr>
          <w:rFonts w:asciiTheme="majorHAnsi" w:hAnsiTheme="majorHAnsi" w:cs="`˝¸Xˇ"/>
          <w:lang w:val="en-GB"/>
        </w:rPr>
        <w:t xml:space="preserve">sly for </w:t>
      </w:r>
      <w:r w:rsidR="009A61DB">
        <w:rPr>
          <w:rFonts w:asciiTheme="majorHAnsi" w:hAnsiTheme="majorHAnsi" w:cs="`˝¸Xˇ"/>
          <w:lang w:val="en-GB"/>
        </w:rPr>
        <w:t xml:space="preserve">more than a </w:t>
      </w:r>
      <w:r>
        <w:rPr>
          <w:rFonts w:asciiTheme="majorHAnsi" w:hAnsiTheme="majorHAnsi" w:cs="`˝¸Xˇ"/>
          <w:lang w:val="en-GB"/>
        </w:rPr>
        <w:t xml:space="preserve">year and whose contract comes to an end </w:t>
      </w:r>
      <w:r w:rsidR="009A61DB">
        <w:rPr>
          <w:rFonts w:asciiTheme="majorHAnsi" w:hAnsiTheme="majorHAnsi" w:cs="`˝¸Xˇ"/>
          <w:lang w:val="en-GB"/>
        </w:rPr>
        <w:t>without renewal</w:t>
      </w:r>
      <w:r>
        <w:rPr>
          <w:rFonts w:asciiTheme="majorHAnsi" w:hAnsiTheme="majorHAnsi" w:cs="`˝¸Xˇ"/>
          <w:lang w:val="en-GB"/>
        </w:rPr>
        <w:t xml:space="preserve"> by the L/NA</w:t>
      </w:r>
      <w:r w:rsidR="00CA7B32">
        <w:rPr>
          <w:rFonts w:asciiTheme="majorHAnsi" w:hAnsiTheme="majorHAnsi" w:cs="`˝¸Xˇ"/>
          <w:lang w:val="en-GB"/>
        </w:rPr>
        <w:t>,</w:t>
      </w:r>
      <w:r>
        <w:rPr>
          <w:rFonts w:asciiTheme="majorHAnsi" w:hAnsiTheme="majorHAnsi" w:cs="`˝¸Xˇ"/>
          <w:lang w:val="en-GB"/>
        </w:rPr>
        <w:t xml:space="preserve"> the severance will be paid with the same method.</w:t>
      </w:r>
    </w:p>
    <w:p w14:paraId="5C8C153C" w14:textId="77777777" w:rsidR="004C5C67" w:rsidRDefault="004C5C67" w:rsidP="00133434">
      <w:pPr>
        <w:widowControl w:val="0"/>
        <w:autoSpaceDE w:val="0"/>
        <w:autoSpaceDN w:val="0"/>
        <w:adjustRightInd w:val="0"/>
        <w:ind w:left="-284" w:right="-489"/>
        <w:rPr>
          <w:rFonts w:asciiTheme="majorHAnsi" w:hAnsiTheme="majorHAnsi" w:cs="`˝¸Xˇ"/>
          <w:lang w:val="en-GB"/>
        </w:rPr>
      </w:pPr>
    </w:p>
    <w:p w14:paraId="19F7E65E" w14:textId="63EBF405" w:rsidR="00133434" w:rsidRDefault="004C5C67" w:rsidP="00133434">
      <w:pPr>
        <w:widowControl w:val="0"/>
        <w:autoSpaceDE w:val="0"/>
        <w:autoSpaceDN w:val="0"/>
        <w:adjustRightInd w:val="0"/>
        <w:ind w:left="-284" w:right="-489"/>
        <w:rPr>
          <w:rFonts w:asciiTheme="majorHAnsi" w:hAnsiTheme="majorHAnsi" w:cs="`˝¸Xˇ"/>
          <w:lang w:val="en-GB"/>
        </w:rPr>
      </w:pPr>
      <w:r w:rsidRPr="00116407">
        <w:rPr>
          <w:rFonts w:asciiTheme="majorHAnsi" w:hAnsiTheme="majorHAnsi" w:cs="`˝¸Xˇ"/>
          <w:lang w:val="en-GB"/>
        </w:rPr>
        <w:t xml:space="preserve">For staff resigning during the period of the project, </w:t>
      </w:r>
      <w:r w:rsidR="00CA7B32">
        <w:rPr>
          <w:rFonts w:asciiTheme="majorHAnsi" w:hAnsiTheme="majorHAnsi" w:cs="`˝¸Xˇ"/>
          <w:lang w:val="en-GB"/>
        </w:rPr>
        <w:t xml:space="preserve">or for staff having a contract </w:t>
      </w:r>
      <w:r w:rsidR="009A61DB">
        <w:rPr>
          <w:rFonts w:asciiTheme="majorHAnsi" w:hAnsiTheme="majorHAnsi" w:cs="`˝¸Xˇ"/>
          <w:lang w:val="en-GB"/>
        </w:rPr>
        <w:t>covering a period less than 12 months</w:t>
      </w:r>
      <w:r w:rsidR="00CA7B32">
        <w:rPr>
          <w:rFonts w:asciiTheme="majorHAnsi" w:hAnsiTheme="majorHAnsi" w:cs="`˝¸Xˇ"/>
          <w:lang w:val="en-GB"/>
        </w:rPr>
        <w:t xml:space="preserve">, </w:t>
      </w:r>
      <w:r w:rsidRPr="00116407">
        <w:rPr>
          <w:rFonts w:asciiTheme="majorHAnsi" w:hAnsiTheme="majorHAnsi" w:cs="`˝¸Xˇ"/>
          <w:lang w:val="en-GB"/>
        </w:rPr>
        <w:t xml:space="preserve">the blocked amount will be </w:t>
      </w:r>
      <w:r>
        <w:rPr>
          <w:rFonts w:asciiTheme="majorHAnsi" w:hAnsiTheme="majorHAnsi" w:cs="`˝¸Xˇ"/>
          <w:lang w:val="en-GB"/>
        </w:rPr>
        <w:t>kept in the L/NA's bank account for future liabilities</w:t>
      </w:r>
      <w:r w:rsidRPr="00116407">
        <w:rPr>
          <w:rFonts w:asciiTheme="majorHAnsi" w:hAnsiTheme="majorHAnsi" w:cs="`˝¸Xˇ"/>
          <w:lang w:val="en-GB"/>
        </w:rPr>
        <w:t xml:space="preserve">.  </w:t>
      </w:r>
    </w:p>
    <w:p w14:paraId="564D5D51" w14:textId="77777777" w:rsidR="00133434" w:rsidRDefault="00133434" w:rsidP="00133434">
      <w:pPr>
        <w:widowControl w:val="0"/>
        <w:autoSpaceDE w:val="0"/>
        <w:autoSpaceDN w:val="0"/>
        <w:adjustRightInd w:val="0"/>
        <w:ind w:left="-284" w:right="-489"/>
        <w:rPr>
          <w:rFonts w:asciiTheme="majorHAnsi" w:hAnsiTheme="majorHAnsi" w:cs="`˝¸Xˇ"/>
          <w:lang w:val="en-GB"/>
        </w:rPr>
      </w:pPr>
    </w:p>
    <w:p w14:paraId="25ACC136" w14:textId="47D4D53F" w:rsidR="00133434" w:rsidRPr="00133434" w:rsidRDefault="00133434" w:rsidP="00133434">
      <w:pPr>
        <w:ind w:left="-284" w:right="-489"/>
        <w:rPr>
          <w:rFonts w:asciiTheme="majorHAnsi" w:hAnsiTheme="majorHAnsi" w:cs="Calibri"/>
          <w:b/>
          <w:bCs/>
          <w:sz w:val="28"/>
          <w:szCs w:val="28"/>
        </w:rPr>
      </w:pPr>
      <w:r>
        <w:rPr>
          <w:rFonts w:asciiTheme="majorHAnsi" w:hAnsiTheme="majorHAnsi" w:cs="Calibri"/>
          <w:b/>
          <w:bCs/>
          <w:sz w:val="28"/>
          <w:szCs w:val="28"/>
        </w:rPr>
        <w:t xml:space="preserve">2. </w:t>
      </w:r>
      <w:r w:rsidR="005653CD">
        <w:rPr>
          <w:rFonts w:asciiTheme="majorHAnsi" w:hAnsiTheme="majorHAnsi" w:cs="Calibri"/>
          <w:b/>
          <w:bCs/>
          <w:sz w:val="28"/>
          <w:szCs w:val="28"/>
        </w:rPr>
        <w:t>“Reserve Fund”: Deduction benefits o</w:t>
      </w:r>
      <w:r w:rsidRPr="00133434">
        <w:rPr>
          <w:rFonts w:asciiTheme="majorHAnsi" w:hAnsiTheme="majorHAnsi" w:cs="Calibri"/>
          <w:b/>
          <w:bCs/>
          <w:sz w:val="28"/>
          <w:szCs w:val="28"/>
        </w:rPr>
        <w:t xml:space="preserve">riginating from </w:t>
      </w:r>
      <w:r w:rsidR="005653CD">
        <w:rPr>
          <w:rFonts w:asciiTheme="majorHAnsi" w:hAnsiTheme="majorHAnsi" w:cs="Calibri"/>
          <w:b/>
          <w:bCs/>
          <w:sz w:val="28"/>
          <w:szCs w:val="28"/>
        </w:rPr>
        <w:t>long-term Social Security premium p</w:t>
      </w:r>
      <w:r w:rsidRPr="00133434">
        <w:rPr>
          <w:rFonts w:asciiTheme="majorHAnsi" w:hAnsiTheme="majorHAnsi" w:cs="Calibri"/>
          <w:b/>
          <w:bCs/>
          <w:sz w:val="28"/>
          <w:szCs w:val="28"/>
        </w:rPr>
        <w:t xml:space="preserve">ayments </w:t>
      </w:r>
    </w:p>
    <w:p w14:paraId="6F7D084F" w14:textId="77777777" w:rsidR="00133434" w:rsidRPr="00133434" w:rsidRDefault="00133434" w:rsidP="00133434">
      <w:pPr>
        <w:autoSpaceDE w:val="0"/>
        <w:autoSpaceDN w:val="0"/>
        <w:adjustRightInd w:val="0"/>
        <w:ind w:left="-284" w:right="-489"/>
        <w:rPr>
          <w:rFonts w:asciiTheme="majorHAnsi" w:hAnsiTheme="majorHAnsi" w:cs="`˝¸Xˇ"/>
          <w:lang w:val="en-GB"/>
        </w:rPr>
      </w:pPr>
    </w:p>
    <w:p w14:paraId="2AB4BAC8" w14:textId="1FAC0155" w:rsidR="00133434" w:rsidRDefault="00133434" w:rsidP="00133434">
      <w:pPr>
        <w:autoSpaceDE w:val="0"/>
        <w:autoSpaceDN w:val="0"/>
        <w:adjustRightInd w:val="0"/>
        <w:ind w:left="-284" w:right="-489"/>
        <w:rPr>
          <w:rFonts w:asciiTheme="majorHAnsi" w:hAnsiTheme="majorHAnsi" w:cs="`˝¸Xˇ"/>
          <w:lang w:val="en-GB"/>
        </w:rPr>
      </w:pPr>
      <w:r w:rsidRPr="00133434">
        <w:rPr>
          <w:rFonts w:asciiTheme="majorHAnsi" w:hAnsiTheme="majorHAnsi" w:cs="`˝¸Xˇ"/>
          <w:lang w:val="en-GB"/>
        </w:rPr>
        <w:t xml:space="preserve">Social Security Institution (SGK) of Turkey offers incentives to all employers in the long-term payment of social security premiums for their employees. </w:t>
      </w:r>
      <w:r w:rsidR="00114E7A">
        <w:rPr>
          <w:rFonts w:asciiTheme="majorHAnsi" w:hAnsiTheme="majorHAnsi" w:cs="`˝¸Xˇ"/>
          <w:lang w:val="en-GB"/>
        </w:rPr>
        <w:t xml:space="preserve"> </w:t>
      </w:r>
      <w:r w:rsidRPr="00133434">
        <w:rPr>
          <w:rFonts w:asciiTheme="majorHAnsi" w:hAnsiTheme="majorHAnsi" w:cs="`˝¸Xˇ"/>
          <w:lang w:val="en-GB"/>
        </w:rPr>
        <w:t xml:space="preserve">The most advantageous of these are the additional employment incentives provided in laws no. 6111 and 7103. </w:t>
      </w:r>
      <w:r w:rsidR="00114E7A">
        <w:rPr>
          <w:rFonts w:asciiTheme="majorHAnsi" w:hAnsiTheme="majorHAnsi" w:cs="`˝¸Xˇ"/>
          <w:lang w:val="en-GB"/>
        </w:rPr>
        <w:t xml:space="preserve"> </w:t>
      </w:r>
      <w:r w:rsidRPr="00133434">
        <w:rPr>
          <w:rFonts w:asciiTheme="majorHAnsi" w:hAnsiTheme="majorHAnsi" w:cs="`˝¸Xˇ"/>
          <w:lang w:val="en-GB"/>
        </w:rPr>
        <w:t xml:space="preserve">There are various conditions placed on employers to be able to benefit from these incentives. </w:t>
      </w:r>
      <w:r w:rsidR="00114E7A">
        <w:rPr>
          <w:rFonts w:asciiTheme="majorHAnsi" w:hAnsiTheme="majorHAnsi" w:cs="`˝¸Xˇ"/>
          <w:lang w:val="en-GB"/>
        </w:rPr>
        <w:t xml:space="preserve"> </w:t>
      </w:r>
      <w:r w:rsidRPr="00133434">
        <w:rPr>
          <w:rFonts w:asciiTheme="majorHAnsi" w:hAnsiTheme="majorHAnsi" w:cs="`˝¸Xˇ"/>
          <w:lang w:val="en-GB"/>
        </w:rPr>
        <w:t xml:space="preserve">The SGK looks for disciplined financial performance, high level of compliance with SGK regulations, and a good track record of no outstanding debt to the institution. </w:t>
      </w:r>
      <w:r w:rsidR="00114E7A">
        <w:rPr>
          <w:rFonts w:asciiTheme="majorHAnsi" w:hAnsiTheme="majorHAnsi" w:cs="`˝¸Xˇ"/>
          <w:lang w:val="en-GB"/>
        </w:rPr>
        <w:t xml:space="preserve"> Many L/NAs are </w:t>
      </w:r>
      <w:r w:rsidR="002C689E">
        <w:rPr>
          <w:rFonts w:asciiTheme="majorHAnsi" w:hAnsiTheme="majorHAnsi" w:cs="`˝¸Xˇ"/>
          <w:lang w:val="en-GB"/>
        </w:rPr>
        <w:t>deemed to fulfil</w:t>
      </w:r>
      <w:r w:rsidRPr="00133434">
        <w:rPr>
          <w:rFonts w:asciiTheme="majorHAnsi" w:hAnsiTheme="majorHAnsi" w:cs="`˝¸Xˇ"/>
          <w:lang w:val="en-GB"/>
        </w:rPr>
        <w:t xml:space="preserve"> these conditions and </w:t>
      </w:r>
      <w:r w:rsidR="002C689E">
        <w:rPr>
          <w:rFonts w:asciiTheme="majorHAnsi" w:hAnsiTheme="majorHAnsi" w:cs="`˝¸Xˇ"/>
          <w:lang w:val="en-GB"/>
        </w:rPr>
        <w:t xml:space="preserve">are </w:t>
      </w:r>
      <w:r w:rsidRPr="00133434">
        <w:rPr>
          <w:rFonts w:asciiTheme="majorHAnsi" w:hAnsiTheme="majorHAnsi" w:cs="`˝¸Xˇ"/>
          <w:lang w:val="en-GB"/>
        </w:rPr>
        <w:t>granted the opportunity to benefit from these incentives.</w:t>
      </w:r>
    </w:p>
    <w:p w14:paraId="1E2C1859" w14:textId="77777777" w:rsidR="00133434" w:rsidRPr="00133434" w:rsidRDefault="00133434" w:rsidP="00133434">
      <w:pPr>
        <w:autoSpaceDE w:val="0"/>
        <w:autoSpaceDN w:val="0"/>
        <w:adjustRightInd w:val="0"/>
        <w:ind w:left="-284" w:right="-489"/>
        <w:rPr>
          <w:rFonts w:asciiTheme="majorHAnsi" w:hAnsiTheme="majorHAnsi" w:cs="`˝¸Xˇ"/>
          <w:lang w:val="en-GB"/>
        </w:rPr>
      </w:pPr>
    </w:p>
    <w:p w14:paraId="43915487" w14:textId="77777777" w:rsidR="00B60741" w:rsidRDefault="00133434" w:rsidP="00B60741">
      <w:pPr>
        <w:autoSpaceDE w:val="0"/>
        <w:autoSpaceDN w:val="0"/>
        <w:adjustRightInd w:val="0"/>
        <w:ind w:left="-284" w:right="-489"/>
        <w:rPr>
          <w:rFonts w:asciiTheme="majorHAnsi" w:hAnsiTheme="majorHAnsi" w:cs="`˝¸Xˇ"/>
          <w:lang w:val="en-GB"/>
        </w:rPr>
      </w:pPr>
      <w:r w:rsidRPr="00133434">
        <w:rPr>
          <w:rFonts w:asciiTheme="majorHAnsi" w:hAnsiTheme="majorHAnsi" w:cs="`˝¸Xˇ"/>
          <w:lang w:val="en-GB"/>
        </w:rPr>
        <w:t xml:space="preserve">According to SGK regulations, social security premium rates </w:t>
      </w:r>
      <w:r w:rsidR="002C689E">
        <w:rPr>
          <w:rFonts w:asciiTheme="majorHAnsi" w:hAnsiTheme="majorHAnsi" w:cs="`˝¸Xˇ"/>
          <w:lang w:val="en-GB"/>
        </w:rPr>
        <w:t xml:space="preserve">are </w:t>
      </w:r>
      <w:r w:rsidRPr="00133434">
        <w:rPr>
          <w:rFonts w:asciiTheme="majorHAnsi" w:hAnsiTheme="majorHAnsi" w:cs="`˝¸Xˇ"/>
          <w:lang w:val="en-GB"/>
        </w:rPr>
        <w:t xml:space="preserve">accrued to </w:t>
      </w:r>
      <w:r w:rsidR="002C689E">
        <w:rPr>
          <w:rFonts w:asciiTheme="majorHAnsi" w:hAnsiTheme="majorHAnsi" w:cs="`˝¸Xˇ"/>
          <w:lang w:val="en-GB"/>
        </w:rPr>
        <w:t>L/NAs that apply</w:t>
      </w:r>
      <w:r w:rsidRPr="00133434">
        <w:rPr>
          <w:rFonts w:asciiTheme="majorHAnsi" w:hAnsiTheme="majorHAnsi" w:cs="`˝¸Xˇ"/>
          <w:lang w:val="en-GB"/>
        </w:rPr>
        <w:t xml:space="preserve">, although the payment </w:t>
      </w:r>
      <w:r w:rsidR="002C689E">
        <w:rPr>
          <w:rFonts w:asciiTheme="majorHAnsi" w:hAnsiTheme="majorHAnsi" w:cs="`˝¸Xˇ"/>
          <w:lang w:val="en-GB"/>
        </w:rPr>
        <w:t xml:space="preserve">is </w:t>
      </w:r>
      <w:r w:rsidRPr="00133434">
        <w:rPr>
          <w:rFonts w:asciiTheme="majorHAnsi" w:hAnsiTheme="majorHAnsi" w:cs="`˝¸Xˇ"/>
          <w:lang w:val="en-GB"/>
        </w:rPr>
        <w:t xml:space="preserve">not </w:t>
      </w:r>
      <w:r w:rsidR="00211967">
        <w:rPr>
          <w:rFonts w:asciiTheme="majorHAnsi" w:hAnsiTheme="majorHAnsi" w:cs="`˝¸Xˇ"/>
          <w:lang w:val="en-GB"/>
        </w:rPr>
        <w:t>made to the SGK due to deduction incentives given.</w:t>
      </w:r>
      <w:r w:rsidR="005653CD">
        <w:rPr>
          <w:rFonts w:asciiTheme="majorHAnsi" w:hAnsiTheme="majorHAnsi" w:cs="`˝¸Xˇ"/>
          <w:lang w:val="en-GB"/>
        </w:rPr>
        <w:t xml:space="preserve">  Instead, </w:t>
      </w:r>
      <w:r w:rsidR="00211967">
        <w:rPr>
          <w:rFonts w:asciiTheme="majorHAnsi" w:hAnsiTheme="majorHAnsi" w:cs="`˝¸Xˇ"/>
          <w:lang w:val="en-GB"/>
        </w:rPr>
        <w:t>L/NAs will be using</w:t>
      </w:r>
      <w:r w:rsidRPr="00133434">
        <w:rPr>
          <w:rFonts w:asciiTheme="majorHAnsi" w:hAnsiTheme="majorHAnsi" w:cs="`˝¸Xˇ"/>
          <w:lang w:val="en-GB"/>
        </w:rPr>
        <w:t xml:space="preserve"> all social security premium deductions to establish a “reserve fund” that will be used to manage </w:t>
      </w:r>
      <w:r w:rsidR="00211967">
        <w:rPr>
          <w:rFonts w:asciiTheme="majorHAnsi" w:hAnsiTheme="majorHAnsi" w:cs="`˝¸Xˇ"/>
          <w:lang w:val="en-GB"/>
        </w:rPr>
        <w:t xml:space="preserve">the organization’s </w:t>
      </w:r>
      <w:r w:rsidRPr="00133434">
        <w:rPr>
          <w:rFonts w:asciiTheme="majorHAnsi" w:hAnsiTheme="majorHAnsi" w:cs="`˝¸Xˇ"/>
          <w:lang w:val="en-GB"/>
        </w:rPr>
        <w:t xml:space="preserve">legal, financial and compliance related risks. </w:t>
      </w:r>
      <w:r w:rsidR="00211967">
        <w:rPr>
          <w:rFonts w:asciiTheme="majorHAnsi" w:hAnsiTheme="majorHAnsi" w:cs="`˝¸Xˇ"/>
          <w:lang w:val="en-GB"/>
        </w:rPr>
        <w:t xml:space="preserve"> </w:t>
      </w:r>
      <w:r w:rsidR="00B60741" w:rsidRPr="00133434">
        <w:rPr>
          <w:rFonts w:asciiTheme="majorHAnsi" w:hAnsiTheme="majorHAnsi" w:cs="`˝¸Xˇ"/>
          <w:lang w:val="en-GB"/>
        </w:rPr>
        <w:t xml:space="preserve">It is important to note that these incentives are not given specific to any project, but are granted to organizations because of their strong financial discipline and exemplary track record with the SGK. </w:t>
      </w:r>
      <w:r w:rsidR="00B60741">
        <w:rPr>
          <w:rFonts w:asciiTheme="majorHAnsi" w:hAnsiTheme="majorHAnsi" w:cs="`˝¸Xˇ"/>
          <w:lang w:val="en-GB"/>
        </w:rPr>
        <w:t xml:space="preserve"> </w:t>
      </w:r>
      <w:r w:rsidR="00B60741" w:rsidRPr="00133434">
        <w:rPr>
          <w:rFonts w:asciiTheme="majorHAnsi" w:hAnsiTheme="majorHAnsi" w:cs="`˝¸Xˇ"/>
          <w:lang w:val="en-GB"/>
        </w:rPr>
        <w:t xml:space="preserve">This incentive should be evaluated as a right provided by the Turkish state in order to reinforce the strong financial performance of its institutions. </w:t>
      </w:r>
      <w:r w:rsidR="00B60741">
        <w:rPr>
          <w:rFonts w:asciiTheme="majorHAnsi" w:hAnsiTheme="majorHAnsi" w:cs="`˝¸Xˇ"/>
          <w:lang w:val="en-GB"/>
        </w:rPr>
        <w:t xml:space="preserve"> </w:t>
      </w:r>
    </w:p>
    <w:p w14:paraId="194ACFFE" w14:textId="77777777" w:rsidR="00B60741" w:rsidRDefault="00B60741" w:rsidP="005653CD">
      <w:pPr>
        <w:autoSpaceDE w:val="0"/>
        <w:autoSpaceDN w:val="0"/>
        <w:adjustRightInd w:val="0"/>
        <w:ind w:left="-284" w:right="-489"/>
        <w:rPr>
          <w:rFonts w:asciiTheme="majorHAnsi" w:hAnsiTheme="majorHAnsi" w:cs="`˝¸Xˇ"/>
          <w:lang w:val="en-GB"/>
        </w:rPr>
      </w:pPr>
    </w:p>
    <w:p w14:paraId="0D08D4E4" w14:textId="39648BEC" w:rsidR="004D44EE" w:rsidRDefault="00133434" w:rsidP="00B60741">
      <w:pPr>
        <w:autoSpaceDE w:val="0"/>
        <w:autoSpaceDN w:val="0"/>
        <w:adjustRightInd w:val="0"/>
        <w:ind w:left="-284" w:right="-489"/>
        <w:rPr>
          <w:rFonts w:asciiTheme="majorHAnsi" w:hAnsiTheme="majorHAnsi" w:cs="`˝¸Xˇ"/>
          <w:lang w:val="en-GB"/>
        </w:rPr>
      </w:pPr>
      <w:r w:rsidRPr="00133434">
        <w:rPr>
          <w:rFonts w:asciiTheme="majorHAnsi" w:hAnsiTheme="majorHAnsi" w:cs="`˝¸Xˇ"/>
          <w:lang w:val="en-GB"/>
        </w:rPr>
        <w:t xml:space="preserve">From this fund, </w:t>
      </w:r>
      <w:r w:rsidR="00211967">
        <w:rPr>
          <w:rFonts w:asciiTheme="majorHAnsi" w:hAnsiTheme="majorHAnsi" w:cs="`˝¸Xˇ"/>
          <w:lang w:val="en-GB"/>
        </w:rPr>
        <w:t xml:space="preserve">L/NAs </w:t>
      </w:r>
      <w:r w:rsidRPr="00133434">
        <w:rPr>
          <w:rFonts w:asciiTheme="majorHAnsi" w:hAnsiTheme="majorHAnsi" w:cs="`˝¸Xˇ"/>
          <w:lang w:val="en-GB"/>
        </w:rPr>
        <w:t xml:space="preserve">will be able </w:t>
      </w:r>
      <w:r w:rsidR="005653CD">
        <w:rPr>
          <w:rFonts w:asciiTheme="majorHAnsi" w:hAnsiTheme="majorHAnsi" w:cs="`˝¸Xˇ"/>
          <w:lang w:val="en-GB"/>
        </w:rPr>
        <w:t>to cover expenses related to their</w:t>
      </w:r>
      <w:r w:rsidRPr="00133434">
        <w:rPr>
          <w:rFonts w:asciiTheme="majorHAnsi" w:hAnsiTheme="majorHAnsi" w:cs="`˝¸Xˇ"/>
          <w:lang w:val="en-GB"/>
        </w:rPr>
        <w:t xml:space="preserve"> legal obligations such as severance payments, accumulated days of leave, notice periods, as well as costs found ineligible by donors. </w:t>
      </w:r>
      <w:r w:rsidR="005653CD">
        <w:rPr>
          <w:rFonts w:asciiTheme="majorHAnsi" w:hAnsiTheme="majorHAnsi" w:cs="`˝¸Xˇ"/>
          <w:lang w:val="en-GB"/>
        </w:rPr>
        <w:t xml:space="preserve"> </w:t>
      </w:r>
      <w:r w:rsidRPr="00133434">
        <w:rPr>
          <w:rFonts w:asciiTheme="majorHAnsi" w:hAnsiTheme="majorHAnsi" w:cs="`˝¸Xˇ"/>
          <w:lang w:val="en-GB"/>
        </w:rPr>
        <w:t xml:space="preserve">All details linked to the usage of this fund will be documented in </w:t>
      </w:r>
      <w:r w:rsidR="005653CD">
        <w:rPr>
          <w:rFonts w:asciiTheme="majorHAnsi" w:hAnsiTheme="majorHAnsi" w:cs="`˝¸Xˇ"/>
          <w:lang w:val="en-GB"/>
        </w:rPr>
        <w:t>the L/NA</w:t>
      </w:r>
      <w:r w:rsidRPr="00133434">
        <w:rPr>
          <w:rFonts w:asciiTheme="majorHAnsi" w:hAnsiTheme="majorHAnsi" w:cs="`˝¸Xˇ"/>
          <w:lang w:val="en-GB"/>
        </w:rPr>
        <w:t xml:space="preserve">’s annual institutional audits. </w:t>
      </w:r>
      <w:r w:rsidR="005653CD">
        <w:rPr>
          <w:rFonts w:asciiTheme="majorHAnsi" w:hAnsiTheme="majorHAnsi" w:cs="`˝¸Xˇ"/>
          <w:lang w:val="en-GB"/>
        </w:rPr>
        <w:t xml:space="preserve"> </w:t>
      </w:r>
      <w:r w:rsidRPr="00133434">
        <w:rPr>
          <w:rFonts w:asciiTheme="majorHAnsi" w:hAnsiTheme="majorHAnsi" w:cs="`˝¸Xˇ"/>
          <w:lang w:val="en-GB"/>
        </w:rPr>
        <w:t>If and when requested, all details related to the fund will be open to the discretion of the donors.</w:t>
      </w:r>
    </w:p>
    <w:p w14:paraId="61589E25" w14:textId="77777777" w:rsidR="00B60741" w:rsidRPr="00B60741" w:rsidRDefault="00B60741" w:rsidP="00B60741">
      <w:pPr>
        <w:autoSpaceDE w:val="0"/>
        <w:autoSpaceDN w:val="0"/>
        <w:adjustRightInd w:val="0"/>
        <w:ind w:left="-284" w:right="-489"/>
        <w:rPr>
          <w:rFonts w:asciiTheme="majorHAnsi" w:hAnsiTheme="majorHAnsi" w:cs="`˝¸Xˇ"/>
          <w:lang w:val="en-GB"/>
        </w:rPr>
      </w:pPr>
    </w:p>
    <w:p w14:paraId="26DBF39D" w14:textId="6C4894EF" w:rsidR="001A52D7" w:rsidRPr="004D44EE" w:rsidRDefault="00B60741" w:rsidP="00133434">
      <w:pPr>
        <w:widowControl w:val="0"/>
        <w:autoSpaceDE w:val="0"/>
        <w:autoSpaceDN w:val="0"/>
        <w:adjustRightInd w:val="0"/>
        <w:ind w:left="-284" w:right="-489"/>
        <w:rPr>
          <w:rFonts w:asciiTheme="majorHAnsi" w:hAnsiTheme="majorHAnsi" w:cs="Calibri"/>
          <w:sz w:val="28"/>
          <w:szCs w:val="28"/>
        </w:rPr>
      </w:pPr>
      <w:r>
        <w:rPr>
          <w:rFonts w:asciiTheme="majorHAnsi" w:hAnsiTheme="majorHAnsi" w:cs="Calibri"/>
          <w:b/>
          <w:bCs/>
          <w:sz w:val="28"/>
          <w:szCs w:val="28"/>
        </w:rPr>
        <w:t>3</w:t>
      </w:r>
      <w:r w:rsidR="001A52D7" w:rsidRPr="004D44EE">
        <w:rPr>
          <w:rFonts w:asciiTheme="majorHAnsi" w:hAnsiTheme="majorHAnsi" w:cs="Calibri"/>
          <w:b/>
          <w:bCs/>
          <w:sz w:val="28"/>
          <w:szCs w:val="28"/>
        </w:rPr>
        <w:t xml:space="preserve">. </w:t>
      </w:r>
      <w:r w:rsidR="00692031">
        <w:rPr>
          <w:rFonts w:asciiTheme="majorHAnsi" w:hAnsiTheme="majorHAnsi" w:cs="Calibri"/>
          <w:b/>
          <w:bCs/>
          <w:sz w:val="28"/>
          <w:szCs w:val="28"/>
        </w:rPr>
        <w:t>Indirect Costs</w:t>
      </w:r>
    </w:p>
    <w:p w14:paraId="5F1D9E22" w14:textId="77777777" w:rsidR="001A52D7" w:rsidRPr="004D44EE" w:rsidRDefault="001A52D7" w:rsidP="00133434">
      <w:pPr>
        <w:widowControl w:val="0"/>
        <w:autoSpaceDE w:val="0"/>
        <w:autoSpaceDN w:val="0"/>
        <w:adjustRightInd w:val="0"/>
        <w:ind w:left="-284" w:right="-489"/>
        <w:rPr>
          <w:rFonts w:asciiTheme="majorHAnsi" w:hAnsiTheme="majorHAnsi" w:cs="Calibri"/>
          <w:sz w:val="28"/>
          <w:szCs w:val="28"/>
        </w:rPr>
      </w:pPr>
    </w:p>
    <w:p w14:paraId="0E485EDD" w14:textId="63282C55" w:rsidR="008F2DFE" w:rsidRPr="004F1224" w:rsidRDefault="008A0ABF" w:rsidP="00133434">
      <w:pPr>
        <w:widowControl w:val="0"/>
        <w:autoSpaceDE w:val="0"/>
        <w:autoSpaceDN w:val="0"/>
        <w:adjustRightInd w:val="0"/>
        <w:ind w:left="-284" w:right="-489"/>
        <w:rPr>
          <w:rFonts w:asciiTheme="majorHAnsi" w:hAnsiTheme="majorHAnsi" w:cs="Calibri"/>
        </w:rPr>
      </w:pPr>
      <w:r>
        <w:rPr>
          <w:rFonts w:asciiTheme="majorHAnsi" w:hAnsiTheme="majorHAnsi" w:cs="Calibri"/>
        </w:rPr>
        <w:t>I</w:t>
      </w:r>
      <w:r w:rsidR="004F1224">
        <w:rPr>
          <w:rFonts w:asciiTheme="majorHAnsi" w:hAnsiTheme="majorHAnsi" w:cs="Calibri"/>
        </w:rPr>
        <w:t xml:space="preserve">ndirect costs </w:t>
      </w:r>
      <w:r>
        <w:rPr>
          <w:rFonts w:asciiTheme="majorHAnsi" w:hAnsiTheme="majorHAnsi" w:cs="Calibri"/>
        </w:rPr>
        <w:t xml:space="preserve">are </w:t>
      </w:r>
      <w:r w:rsidR="004F1224" w:rsidRPr="004F1224">
        <w:rPr>
          <w:rFonts w:asciiTheme="majorHAnsi" w:hAnsiTheme="majorHAnsi" w:cs="`˝¸Xˇ"/>
          <w:lang w:val="en-GB"/>
        </w:rPr>
        <w:t xml:space="preserve">incurred for </w:t>
      </w:r>
      <w:r w:rsidR="00330C4E">
        <w:rPr>
          <w:rFonts w:asciiTheme="majorHAnsi" w:hAnsiTheme="majorHAnsi" w:cs="`˝¸Xˇ"/>
          <w:lang w:val="en-GB"/>
        </w:rPr>
        <w:t xml:space="preserve">the organization’s </w:t>
      </w:r>
      <w:r w:rsidR="004F1224" w:rsidRPr="004F1224">
        <w:rPr>
          <w:rFonts w:asciiTheme="majorHAnsi" w:hAnsiTheme="majorHAnsi" w:cs="`˝¸Xˇ"/>
          <w:lang w:val="en-GB"/>
        </w:rPr>
        <w:t xml:space="preserve">overall management, institutional structures and mechanisms that benefit </w:t>
      </w:r>
      <w:r w:rsidR="00D35256">
        <w:rPr>
          <w:rFonts w:asciiTheme="majorHAnsi" w:hAnsiTheme="majorHAnsi" w:cs="`˝¸Xˇ"/>
          <w:lang w:val="en-GB"/>
        </w:rPr>
        <w:t xml:space="preserve">the L/NA </w:t>
      </w:r>
      <w:r w:rsidR="004F1224" w:rsidRPr="004F1224">
        <w:rPr>
          <w:rFonts w:asciiTheme="majorHAnsi" w:hAnsiTheme="majorHAnsi" w:cs="`˝¸Xˇ"/>
          <w:lang w:val="en-GB"/>
        </w:rPr>
        <w:t>as a whole.</w:t>
      </w:r>
      <w:r w:rsidR="004F1224">
        <w:rPr>
          <w:rFonts w:asciiTheme="majorHAnsi" w:hAnsiTheme="majorHAnsi" w:cs="`˝¸Xˇ"/>
          <w:lang w:val="en-GB"/>
        </w:rPr>
        <w:t xml:space="preserve"> </w:t>
      </w:r>
      <w:r w:rsidR="00D35256">
        <w:rPr>
          <w:rFonts w:asciiTheme="majorHAnsi" w:hAnsiTheme="majorHAnsi" w:cs="`˝¸Xˇ"/>
          <w:lang w:val="en-GB"/>
        </w:rPr>
        <w:t xml:space="preserve"> </w:t>
      </w:r>
      <w:r w:rsidR="004F1224">
        <w:rPr>
          <w:rFonts w:asciiTheme="majorHAnsi" w:hAnsiTheme="majorHAnsi" w:cs="`˝¸Xˇ"/>
          <w:lang w:val="en-GB"/>
        </w:rPr>
        <w:t>This is a lum</w:t>
      </w:r>
      <w:r w:rsidR="00E17442">
        <w:rPr>
          <w:rFonts w:asciiTheme="majorHAnsi" w:hAnsiTheme="majorHAnsi" w:cs="`˝¸Xˇ"/>
          <w:lang w:val="en-GB"/>
        </w:rPr>
        <w:t>p</w:t>
      </w:r>
      <w:r w:rsidR="004F1224">
        <w:rPr>
          <w:rFonts w:asciiTheme="majorHAnsi" w:hAnsiTheme="majorHAnsi" w:cs="`˝¸Xˇ"/>
          <w:lang w:val="en-GB"/>
        </w:rPr>
        <w:t>sum amount of the total</w:t>
      </w:r>
      <w:r w:rsidR="007A174C">
        <w:rPr>
          <w:rFonts w:asciiTheme="majorHAnsi" w:hAnsiTheme="majorHAnsi" w:cs="`˝¸Xˇ"/>
          <w:lang w:val="en-GB"/>
        </w:rPr>
        <w:t xml:space="preserve"> project</w:t>
      </w:r>
      <w:r w:rsidR="004F1224">
        <w:rPr>
          <w:rFonts w:asciiTheme="majorHAnsi" w:hAnsiTheme="majorHAnsi" w:cs="`˝¸Xˇ"/>
          <w:lang w:val="en-GB"/>
        </w:rPr>
        <w:t xml:space="preserve"> income of the </w:t>
      </w:r>
      <w:r w:rsidR="00D35256">
        <w:rPr>
          <w:rFonts w:asciiTheme="majorHAnsi" w:hAnsiTheme="majorHAnsi" w:cs="`˝¸Xˇ"/>
          <w:lang w:val="en-GB"/>
        </w:rPr>
        <w:t>organization</w:t>
      </w:r>
      <w:r w:rsidR="004F1224">
        <w:rPr>
          <w:rFonts w:asciiTheme="majorHAnsi" w:hAnsiTheme="majorHAnsi" w:cs="`˝¸Xˇ"/>
          <w:lang w:val="en-GB"/>
        </w:rPr>
        <w:t xml:space="preserve">. </w:t>
      </w:r>
      <w:r w:rsidR="00D35256">
        <w:rPr>
          <w:rFonts w:asciiTheme="majorHAnsi" w:hAnsiTheme="majorHAnsi" w:cs="`˝¸Xˇ"/>
          <w:lang w:val="en-GB"/>
        </w:rPr>
        <w:t xml:space="preserve"> </w:t>
      </w:r>
      <w:r w:rsidR="004F1224">
        <w:rPr>
          <w:rFonts w:asciiTheme="majorHAnsi" w:hAnsiTheme="majorHAnsi" w:cs="Calibri"/>
        </w:rPr>
        <w:t>This</w:t>
      </w:r>
      <w:r w:rsidR="004F1224" w:rsidRPr="004F1224">
        <w:rPr>
          <w:rFonts w:asciiTheme="majorHAnsi" w:hAnsiTheme="majorHAnsi" w:cs="Calibri"/>
        </w:rPr>
        <w:t xml:space="preserve"> ensure</w:t>
      </w:r>
      <w:r w:rsidR="004F1224">
        <w:rPr>
          <w:rFonts w:asciiTheme="majorHAnsi" w:hAnsiTheme="majorHAnsi" w:cs="Calibri"/>
        </w:rPr>
        <w:t>s</w:t>
      </w:r>
      <w:r w:rsidR="004F1224" w:rsidRPr="004F1224">
        <w:rPr>
          <w:rFonts w:asciiTheme="majorHAnsi" w:hAnsiTheme="majorHAnsi" w:cs="Calibri"/>
        </w:rPr>
        <w:t xml:space="preserve"> flexibility of usage which enables </w:t>
      </w:r>
      <w:r w:rsidR="00D35256">
        <w:rPr>
          <w:rFonts w:asciiTheme="majorHAnsi" w:hAnsiTheme="majorHAnsi" w:cs="Calibri"/>
        </w:rPr>
        <w:t xml:space="preserve">the </w:t>
      </w:r>
      <w:r w:rsidR="004F1224">
        <w:rPr>
          <w:rFonts w:asciiTheme="majorHAnsi" w:hAnsiTheme="majorHAnsi" w:cs="`˝¸Xˇ"/>
          <w:lang w:val="en-GB"/>
        </w:rPr>
        <w:t>L</w:t>
      </w:r>
      <w:r w:rsidR="00D35256">
        <w:rPr>
          <w:rFonts w:asciiTheme="majorHAnsi" w:hAnsiTheme="majorHAnsi" w:cs="`˝¸Xˇ"/>
          <w:lang w:val="en-GB"/>
        </w:rPr>
        <w:t xml:space="preserve">/NA </w:t>
      </w:r>
      <w:r w:rsidR="004F1224" w:rsidRPr="004F1224">
        <w:rPr>
          <w:rFonts w:asciiTheme="majorHAnsi" w:hAnsiTheme="majorHAnsi" w:cs="Calibri"/>
        </w:rPr>
        <w:t>to cover liabilities, mitigate risks</w:t>
      </w:r>
      <w:r w:rsidR="007A174C">
        <w:rPr>
          <w:rFonts w:asciiTheme="majorHAnsi" w:hAnsiTheme="majorHAnsi" w:cs="Calibri"/>
        </w:rPr>
        <w:t>, secure cashflow,</w:t>
      </w:r>
      <w:r w:rsidR="004F1224" w:rsidRPr="004F1224">
        <w:rPr>
          <w:rFonts w:asciiTheme="majorHAnsi" w:hAnsiTheme="majorHAnsi" w:cs="Calibri"/>
        </w:rPr>
        <w:t xml:space="preserve"> and invest in private fundraising. </w:t>
      </w:r>
      <w:r w:rsidR="00CB45B5">
        <w:rPr>
          <w:rFonts w:asciiTheme="majorHAnsi" w:hAnsiTheme="majorHAnsi" w:cs="Calibri"/>
        </w:rPr>
        <w:t xml:space="preserve"> </w:t>
      </w:r>
      <w:r w:rsidR="004F1224" w:rsidRPr="004F1224">
        <w:rPr>
          <w:rFonts w:asciiTheme="majorHAnsi" w:hAnsiTheme="majorHAnsi" w:cs="Calibri"/>
        </w:rPr>
        <w:t>Th</w:t>
      </w:r>
      <w:r w:rsidR="004F1224">
        <w:rPr>
          <w:rFonts w:asciiTheme="majorHAnsi" w:hAnsiTheme="majorHAnsi" w:cs="Calibri"/>
        </w:rPr>
        <w:t>is</w:t>
      </w:r>
      <w:r w:rsidR="004F1224" w:rsidRPr="004F1224">
        <w:rPr>
          <w:rFonts w:asciiTheme="majorHAnsi" w:hAnsiTheme="majorHAnsi" w:cs="Calibri"/>
        </w:rPr>
        <w:t xml:space="preserve"> </w:t>
      </w:r>
      <w:r w:rsidR="004F1224">
        <w:rPr>
          <w:rFonts w:asciiTheme="majorHAnsi" w:hAnsiTheme="majorHAnsi" w:cs="Calibri"/>
        </w:rPr>
        <w:t>budget line</w:t>
      </w:r>
      <w:r w:rsidR="004F1224" w:rsidRPr="004F1224">
        <w:rPr>
          <w:rFonts w:asciiTheme="majorHAnsi" w:hAnsiTheme="majorHAnsi" w:cs="Calibri"/>
        </w:rPr>
        <w:t xml:space="preserve"> will be indicated as such so that donors do not request justification for </w:t>
      </w:r>
      <w:r w:rsidR="00CB45B5">
        <w:rPr>
          <w:rFonts w:asciiTheme="majorHAnsi" w:hAnsiTheme="majorHAnsi" w:cs="Calibri"/>
        </w:rPr>
        <w:t xml:space="preserve">direct </w:t>
      </w:r>
      <w:r w:rsidR="004F1224" w:rsidRPr="004F1224">
        <w:rPr>
          <w:rFonts w:asciiTheme="majorHAnsi" w:hAnsiTheme="majorHAnsi" w:cs="Calibri"/>
        </w:rPr>
        <w:t>project involvement.</w:t>
      </w:r>
    </w:p>
    <w:p w14:paraId="0DC7C89E" w14:textId="77777777" w:rsidR="008F2DFE" w:rsidRPr="004D44EE" w:rsidRDefault="008F2DFE" w:rsidP="00133434">
      <w:pPr>
        <w:widowControl w:val="0"/>
        <w:autoSpaceDE w:val="0"/>
        <w:autoSpaceDN w:val="0"/>
        <w:adjustRightInd w:val="0"/>
        <w:ind w:left="-284" w:right="-489"/>
        <w:rPr>
          <w:rFonts w:asciiTheme="majorHAnsi" w:hAnsiTheme="majorHAnsi" w:cs="Calibri"/>
          <w:sz w:val="28"/>
          <w:szCs w:val="28"/>
        </w:rPr>
      </w:pPr>
    </w:p>
    <w:p w14:paraId="44681E9A" w14:textId="3E443F91" w:rsidR="001A52D7" w:rsidRPr="004D44EE" w:rsidRDefault="00B60741" w:rsidP="00133434">
      <w:pPr>
        <w:widowControl w:val="0"/>
        <w:autoSpaceDE w:val="0"/>
        <w:autoSpaceDN w:val="0"/>
        <w:adjustRightInd w:val="0"/>
        <w:ind w:left="-284" w:right="-489"/>
        <w:rPr>
          <w:rFonts w:asciiTheme="majorHAnsi" w:hAnsiTheme="majorHAnsi" w:cs="Calibri"/>
          <w:sz w:val="28"/>
          <w:szCs w:val="28"/>
        </w:rPr>
      </w:pPr>
      <w:r>
        <w:rPr>
          <w:rFonts w:asciiTheme="majorHAnsi" w:hAnsiTheme="majorHAnsi" w:cs="Calibri"/>
          <w:b/>
          <w:bCs/>
          <w:sz w:val="28"/>
          <w:szCs w:val="28"/>
        </w:rPr>
        <w:t>4</w:t>
      </w:r>
      <w:r w:rsidR="001A52D7" w:rsidRPr="004D44EE">
        <w:rPr>
          <w:rFonts w:asciiTheme="majorHAnsi" w:hAnsiTheme="majorHAnsi" w:cs="Calibri"/>
          <w:b/>
          <w:bCs/>
          <w:sz w:val="28"/>
          <w:szCs w:val="28"/>
        </w:rPr>
        <w:t xml:space="preserve">. </w:t>
      </w:r>
      <w:r w:rsidR="005A69E1">
        <w:rPr>
          <w:rFonts w:asciiTheme="majorHAnsi" w:hAnsiTheme="majorHAnsi" w:cs="Calibri"/>
          <w:b/>
          <w:bCs/>
          <w:sz w:val="28"/>
          <w:szCs w:val="28"/>
        </w:rPr>
        <w:t>Project life-</w:t>
      </w:r>
      <w:r w:rsidR="005825DE">
        <w:rPr>
          <w:rFonts w:asciiTheme="majorHAnsi" w:hAnsiTheme="majorHAnsi" w:cs="Calibri"/>
          <w:b/>
          <w:bCs/>
          <w:sz w:val="28"/>
          <w:szCs w:val="28"/>
        </w:rPr>
        <w:t>time allocation vs monthly basis</w:t>
      </w:r>
      <w:r w:rsidR="004D3501">
        <w:rPr>
          <w:rFonts w:asciiTheme="majorHAnsi" w:hAnsiTheme="majorHAnsi" w:cs="Calibri"/>
          <w:b/>
          <w:bCs/>
          <w:sz w:val="28"/>
          <w:szCs w:val="28"/>
        </w:rPr>
        <w:t xml:space="preserve"> allocation</w:t>
      </w:r>
      <w:r w:rsidR="007A174C">
        <w:rPr>
          <w:rFonts w:asciiTheme="majorHAnsi" w:hAnsiTheme="majorHAnsi" w:cs="Calibri"/>
          <w:b/>
          <w:bCs/>
          <w:sz w:val="28"/>
          <w:szCs w:val="28"/>
        </w:rPr>
        <w:t xml:space="preserve"> of resources</w:t>
      </w:r>
    </w:p>
    <w:p w14:paraId="696AE58A" w14:textId="77777777" w:rsidR="001A52D7" w:rsidRPr="004D44EE" w:rsidRDefault="001A52D7" w:rsidP="00133434">
      <w:pPr>
        <w:widowControl w:val="0"/>
        <w:autoSpaceDE w:val="0"/>
        <w:autoSpaceDN w:val="0"/>
        <w:adjustRightInd w:val="0"/>
        <w:ind w:left="-284" w:right="-489"/>
        <w:rPr>
          <w:rFonts w:asciiTheme="majorHAnsi" w:hAnsiTheme="majorHAnsi" w:cs="Calibri"/>
          <w:sz w:val="28"/>
          <w:szCs w:val="28"/>
        </w:rPr>
      </w:pPr>
    </w:p>
    <w:p w14:paraId="44F4D90B" w14:textId="56298224" w:rsidR="005825DE" w:rsidRPr="005825DE" w:rsidRDefault="005825DE" w:rsidP="00133434">
      <w:pPr>
        <w:ind w:left="-284" w:right="-489"/>
        <w:rPr>
          <w:rFonts w:asciiTheme="majorHAnsi" w:hAnsiTheme="majorHAnsi"/>
        </w:rPr>
      </w:pPr>
      <w:r w:rsidRPr="005825DE">
        <w:rPr>
          <w:rFonts w:asciiTheme="majorHAnsi" w:hAnsiTheme="majorHAnsi"/>
        </w:rPr>
        <w:t xml:space="preserve">Actual-based allocation methodology is costly and risky for </w:t>
      </w:r>
      <w:r w:rsidR="00267D69">
        <w:rPr>
          <w:rFonts w:asciiTheme="majorHAnsi" w:hAnsiTheme="majorHAnsi"/>
        </w:rPr>
        <w:t>L/</w:t>
      </w:r>
      <w:r>
        <w:rPr>
          <w:rFonts w:asciiTheme="majorHAnsi" w:hAnsiTheme="majorHAnsi"/>
        </w:rPr>
        <w:t>N</w:t>
      </w:r>
      <w:r w:rsidR="00267D69">
        <w:rPr>
          <w:rFonts w:asciiTheme="majorHAnsi" w:hAnsiTheme="majorHAnsi"/>
        </w:rPr>
        <w:t>As</w:t>
      </w:r>
      <w:r w:rsidRPr="005825DE">
        <w:rPr>
          <w:rFonts w:asciiTheme="majorHAnsi" w:hAnsiTheme="majorHAnsi"/>
        </w:rPr>
        <w:t xml:space="preserve">. </w:t>
      </w:r>
      <w:r w:rsidR="00267D69">
        <w:rPr>
          <w:rFonts w:asciiTheme="majorHAnsi" w:hAnsiTheme="majorHAnsi"/>
        </w:rPr>
        <w:t xml:space="preserve"> </w:t>
      </w:r>
      <w:r w:rsidR="00365DE2">
        <w:rPr>
          <w:rFonts w:asciiTheme="majorHAnsi" w:hAnsiTheme="majorHAnsi"/>
        </w:rPr>
        <w:t xml:space="preserve">Turkish </w:t>
      </w:r>
      <w:r>
        <w:rPr>
          <w:rFonts w:asciiTheme="majorHAnsi" w:hAnsiTheme="majorHAnsi"/>
        </w:rPr>
        <w:t xml:space="preserve">NGOs </w:t>
      </w:r>
      <w:r w:rsidRPr="005825DE">
        <w:rPr>
          <w:rFonts w:asciiTheme="majorHAnsi" w:hAnsiTheme="majorHAnsi"/>
        </w:rPr>
        <w:t xml:space="preserve">will need cash reserve to be able to cover the burden of any expense that </w:t>
      </w:r>
      <w:r w:rsidR="00D76FE5">
        <w:rPr>
          <w:rFonts w:asciiTheme="majorHAnsi" w:hAnsiTheme="majorHAnsi"/>
        </w:rPr>
        <w:t xml:space="preserve">donors </w:t>
      </w:r>
      <w:r w:rsidRPr="005825DE">
        <w:rPr>
          <w:rFonts w:asciiTheme="majorHAnsi" w:hAnsiTheme="majorHAnsi"/>
        </w:rPr>
        <w:t>do not cover.  This is especially challenging for shared costs</w:t>
      </w:r>
      <w:r w:rsidR="007F6A37">
        <w:rPr>
          <w:rFonts w:asciiTheme="majorHAnsi" w:hAnsiTheme="majorHAnsi"/>
        </w:rPr>
        <w:t xml:space="preserve"> such</w:t>
      </w:r>
      <w:r w:rsidR="00CA7B32">
        <w:rPr>
          <w:rFonts w:asciiTheme="majorHAnsi" w:hAnsiTheme="majorHAnsi"/>
        </w:rPr>
        <w:t xml:space="preserve"> as shared salaries and other shared administrative costs</w:t>
      </w:r>
      <w:r w:rsidRPr="005825DE">
        <w:rPr>
          <w:rFonts w:asciiTheme="majorHAnsi" w:hAnsiTheme="majorHAnsi"/>
        </w:rPr>
        <w:t xml:space="preserve">.  Donor flexibility is required in terms of the calculation of time allocations </w:t>
      </w:r>
      <w:r w:rsidR="00A320EA">
        <w:rPr>
          <w:rFonts w:asciiTheme="majorHAnsi" w:hAnsiTheme="majorHAnsi"/>
        </w:rPr>
        <w:t xml:space="preserve">of </w:t>
      </w:r>
      <w:r w:rsidRPr="005825DE">
        <w:rPr>
          <w:rFonts w:asciiTheme="majorHAnsi" w:hAnsiTheme="majorHAnsi"/>
        </w:rPr>
        <w:t>staff</w:t>
      </w:r>
      <w:r w:rsidR="00A320EA">
        <w:rPr>
          <w:rFonts w:asciiTheme="majorHAnsi" w:hAnsiTheme="majorHAnsi"/>
        </w:rPr>
        <w:t xml:space="preserve"> </w:t>
      </w:r>
      <w:r w:rsidR="007F6A37">
        <w:rPr>
          <w:rFonts w:asciiTheme="majorHAnsi" w:hAnsiTheme="majorHAnsi"/>
        </w:rPr>
        <w:t xml:space="preserve">time </w:t>
      </w:r>
      <w:r w:rsidR="00A320EA">
        <w:rPr>
          <w:rFonts w:asciiTheme="majorHAnsi" w:hAnsiTheme="majorHAnsi"/>
        </w:rPr>
        <w:t>per project</w:t>
      </w:r>
      <w:r w:rsidRPr="005825DE">
        <w:rPr>
          <w:rFonts w:asciiTheme="majorHAnsi" w:hAnsiTheme="majorHAnsi"/>
        </w:rPr>
        <w:t xml:space="preserve">.  </w:t>
      </w:r>
      <w:r w:rsidRPr="005825DE">
        <w:rPr>
          <w:rFonts w:asciiTheme="majorHAnsi" w:hAnsiTheme="majorHAnsi"/>
          <w:u w:val="single"/>
        </w:rPr>
        <w:t>This will have to be done over the life time of the project as opposed to allocations based on a monthly basis</w:t>
      </w:r>
      <w:r w:rsidR="00CA7B32">
        <w:rPr>
          <w:rFonts w:asciiTheme="majorHAnsi" w:hAnsiTheme="majorHAnsi"/>
          <w:u w:val="single"/>
        </w:rPr>
        <w:t xml:space="preserve"> for all shared costs</w:t>
      </w:r>
      <w:r w:rsidRPr="005825DE">
        <w:rPr>
          <w:rFonts w:asciiTheme="majorHAnsi" w:hAnsiTheme="majorHAnsi"/>
        </w:rPr>
        <w:t xml:space="preserve">.  This is particularly important as the ineligibility of allocated expenses is something that </w:t>
      </w:r>
      <w:r w:rsidR="00B50CD2">
        <w:rPr>
          <w:rFonts w:asciiTheme="majorHAnsi" w:hAnsiTheme="majorHAnsi"/>
        </w:rPr>
        <w:t>L/</w:t>
      </w:r>
      <w:r>
        <w:rPr>
          <w:rFonts w:asciiTheme="majorHAnsi" w:hAnsiTheme="majorHAnsi"/>
        </w:rPr>
        <w:t>N</w:t>
      </w:r>
      <w:r w:rsidR="00B50CD2">
        <w:rPr>
          <w:rFonts w:asciiTheme="majorHAnsi" w:hAnsiTheme="majorHAnsi"/>
        </w:rPr>
        <w:t xml:space="preserve">As </w:t>
      </w:r>
      <w:r w:rsidRPr="005825DE">
        <w:rPr>
          <w:rFonts w:asciiTheme="majorHAnsi" w:hAnsiTheme="majorHAnsi"/>
        </w:rPr>
        <w:t>cannot afford.</w:t>
      </w:r>
    </w:p>
    <w:p w14:paraId="003742C8" w14:textId="77777777" w:rsidR="00567BC9" w:rsidRPr="004D44EE" w:rsidRDefault="00567BC9" w:rsidP="00133434">
      <w:pPr>
        <w:widowControl w:val="0"/>
        <w:autoSpaceDE w:val="0"/>
        <w:autoSpaceDN w:val="0"/>
        <w:adjustRightInd w:val="0"/>
        <w:ind w:left="-284" w:right="-489"/>
        <w:rPr>
          <w:rFonts w:asciiTheme="majorHAnsi" w:hAnsiTheme="majorHAnsi" w:cs="Calibri"/>
          <w:sz w:val="28"/>
          <w:szCs w:val="28"/>
        </w:rPr>
      </w:pPr>
    </w:p>
    <w:p w14:paraId="6309A694" w14:textId="60536E07" w:rsidR="001A52D7" w:rsidRPr="004D44EE" w:rsidRDefault="00B60741" w:rsidP="00133434">
      <w:pPr>
        <w:widowControl w:val="0"/>
        <w:autoSpaceDE w:val="0"/>
        <w:autoSpaceDN w:val="0"/>
        <w:adjustRightInd w:val="0"/>
        <w:ind w:left="-284" w:right="-489"/>
        <w:rPr>
          <w:rFonts w:asciiTheme="majorHAnsi" w:hAnsiTheme="majorHAnsi" w:cs="Calibri"/>
          <w:sz w:val="28"/>
          <w:szCs w:val="28"/>
        </w:rPr>
      </w:pPr>
      <w:r>
        <w:rPr>
          <w:rFonts w:asciiTheme="majorHAnsi" w:hAnsiTheme="majorHAnsi" w:cs="Calibri"/>
          <w:b/>
          <w:bCs/>
          <w:sz w:val="28"/>
          <w:szCs w:val="28"/>
        </w:rPr>
        <w:t>5</w:t>
      </w:r>
      <w:r w:rsidR="001A52D7" w:rsidRPr="004D44EE">
        <w:rPr>
          <w:rFonts w:asciiTheme="majorHAnsi" w:hAnsiTheme="majorHAnsi" w:cs="Calibri"/>
          <w:b/>
          <w:bCs/>
          <w:sz w:val="28"/>
          <w:szCs w:val="28"/>
        </w:rPr>
        <w:t xml:space="preserve">. </w:t>
      </w:r>
      <w:r w:rsidR="005569EC">
        <w:rPr>
          <w:rFonts w:asciiTheme="majorHAnsi" w:hAnsiTheme="majorHAnsi" w:cs="Calibri"/>
          <w:b/>
          <w:bCs/>
          <w:sz w:val="28"/>
          <w:szCs w:val="28"/>
        </w:rPr>
        <w:t xml:space="preserve">Salary Scale and </w:t>
      </w:r>
      <w:r w:rsidR="00214408">
        <w:rPr>
          <w:rFonts w:asciiTheme="majorHAnsi" w:hAnsiTheme="majorHAnsi" w:cs="Calibri"/>
          <w:b/>
          <w:bCs/>
          <w:sz w:val="28"/>
          <w:szCs w:val="28"/>
        </w:rPr>
        <w:t xml:space="preserve">Staff Benefits </w:t>
      </w:r>
    </w:p>
    <w:p w14:paraId="04487741" w14:textId="77777777" w:rsidR="001A52D7" w:rsidRPr="004D44EE" w:rsidRDefault="001A52D7" w:rsidP="00133434">
      <w:pPr>
        <w:widowControl w:val="0"/>
        <w:autoSpaceDE w:val="0"/>
        <w:autoSpaceDN w:val="0"/>
        <w:adjustRightInd w:val="0"/>
        <w:ind w:left="-284" w:right="-489"/>
        <w:rPr>
          <w:rFonts w:asciiTheme="majorHAnsi" w:hAnsiTheme="majorHAnsi" w:cs="Calibri"/>
          <w:b/>
          <w:bCs/>
          <w:sz w:val="28"/>
          <w:szCs w:val="28"/>
        </w:rPr>
      </w:pPr>
    </w:p>
    <w:p w14:paraId="21C3ABDC" w14:textId="06FD02B8" w:rsidR="002E65A3" w:rsidRDefault="0029093A" w:rsidP="00133434">
      <w:pPr>
        <w:widowControl w:val="0"/>
        <w:autoSpaceDE w:val="0"/>
        <w:autoSpaceDN w:val="0"/>
        <w:adjustRightInd w:val="0"/>
        <w:ind w:left="-284" w:right="-489"/>
        <w:rPr>
          <w:rFonts w:asciiTheme="majorHAnsi" w:hAnsiTheme="majorHAnsi" w:cs="Calibri"/>
        </w:rPr>
      </w:pPr>
      <w:r>
        <w:rPr>
          <w:rFonts w:asciiTheme="majorHAnsi" w:hAnsiTheme="majorHAnsi" w:cs="Calibri"/>
        </w:rPr>
        <w:t xml:space="preserve">Staff benefits such as </w:t>
      </w:r>
      <w:r w:rsidR="00522A97">
        <w:rPr>
          <w:rFonts w:asciiTheme="majorHAnsi" w:hAnsiTheme="majorHAnsi" w:cs="Calibri"/>
        </w:rPr>
        <w:t xml:space="preserve">health and risk insurance, </w:t>
      </w:r>
      <w:r>
        <w:rPr>
          <w:rFonts w:asciiTheme="majorHAnsi" w:hAnsiTheme="majorHAnsi" w:cs="Calibri"/>
        </w:rPr>
        <w:t>l</w:t>
      </w:r>
      <w:r w:rsidR="00214408" w:rsidRPr="00267D69">
        <w:rPr>
          <w:rFonts w:asciiTheme="majorHAnsi" w:hAnsiTheme="majorHAnsi" w:cs="Calibri"/>
        </w:rPr>
        <w:t xml:space="preserve">unch </w:t>
      </w:r>
      <w:r w:rsidR="002E65A3">
        <w:rPr>
          <w:rFonts w:asciiTheme="majorHAnsi" w:hAnsiTheme="majorHAnsi" w:cs="Calibri"/>
        </w:rPr>
        <w:t xml:space="preserve">allowance or additional payments for </w:t>
      </w:r>
      <w:r w:rsidR="00214408" w:rsidRPr="00267D69">
        <w:rPr>
          <w:rFonts w:asciiTheme="majorHAnsi" w:hAnsiTheme="majorHAnsi" w:cs="Calibri"/>
        </w:rPr>
        <w:t xml:space="preserve">local transportation are common practice in Turkey although not legally </w:t>
      </w:r>
      <w:r w:rsidR="006457CD" w:rsidRPr="00267D69">
        <w:rPr>
          <w:rFonts w:asciiTheme="majorHAnsi" w:hAnsiTheme="majorHAnsi" w:cs="Calibri"/>
        </w:rPr>
        <w:t xml:space="preserve">compulsory. </w:t>
      </w:r>
      <w:r w:rsidR="002E65A3">
        <w:rPr>
          <w:rFonts w:asciiTheme="majorHAnsi" w:hAnsiTheme="majorHAnsi" w:cs="Calibri"/>
        </w:rPr>
        <w:t xml:space="preserve"> </w:t>
      </w:r>
      <w:r w:rsidR="005569EC">
        <w:rPr>
          <w:rFonts w:asciiTheme="majorHAnsi" w:hAnsiTheme="majorHAnsi" w:cs="Calibri"/>
        </w:rPr>
        <w:t xml:space="preserve">Depending on their organizational policy, </w:t>
      </w:r>
      <w:r w:rsidR="006457CD" w:rsidRPr="00267D69">
        <w:rPr>
          <w:rFonts w:asciiTheme="majorHAnsi" w:hAnsiTheme="majorHAnsi" w:cs="Calibri"/>
        </w:rPr>
        <w:t>L</w:t>
      </w:r>
      <w:r w:rsidR="002E65A3">
        <w:rPr>
          <w:rFonts w:asciiTheme="majorHAnsi" w:hAnsiTheme="majorHAnsi" w:cs="Calibri"/>
        </w:rPr>
        <w:t xml:space="preserve">/NAs </w:t>
      </w:r>
      <w:r w:rsidR="006457CD" w:rsidRPr="00267D69">
        <w:rPr>
          <w:rFonts w:asciiTheme="majorHAnsi" w:hAnsiTheme="majorHAnsi" w:cs="Calibri"/>
        </w:rPr>
        <w:t xml:space="preserve">should be able to budget these costs </w:t>
      </w:r>
      <w:r w:rsidR="002E65A3">
        <w:rPr>
          <w:rFonts w:asciiTheme="majorHAnsi" w:hAnsiTheme="majorHAnsi" w:cs="Calibri"/>
        </w:rPr>
        <w:t xml:space="preserve">into projects in order </w:t>
      </w:r>
      <w:r w:rsidR="006457CD" w:rsidRPr="00267D69">
        <w:rPr>
          <w:rFonts w:asciiTheme="majorHAnsi" w:hAnsiTheme="majorHAnsi" w:cs="Calibri"/>
        </w:rPr>
        <w:t xml:space="preserve">to attract qualified staff for humanitarian/development </w:t>
      </w:r>
      <w:r w:rsidR="002E65A3">
        <w:rPr>
          <w:rFonts w:asciiTheme="majorHAnsi" w:hAnsiTheme="majorHAnsi" w:cs="Calibri"/>
        </w:rPr>
        <w:t>work as well as compete with INGOs offering higher salaries and better benefit packages.</w:t>
      </w:r>
    </w:p>
    <w:p w14:paraId="335E06EA" w14:textId="77777777" w:rsidR="005569EC" w:rsidRDefault="005569EC" w:rsidP="00133434">
      <w:pPr>
        <w:widowControl w:val="0"/>
        <w:autoSpaceDE w:val="0"/>
        <w:autoSpaceDN w:val="0"/>
        <w:adjustRightInd w:val="0"/>
        <w:ind w:left="-284" w:right="-489"/>
        <w:rPr>
          <w:rFonts w:asciiTheme="majorHAnsi" w:hAnsiTheme="majorHAnsi" w:cs="Calibri"/>
        </w:rPr>
      </w:pPr>
    </w:p>
    <w:p w14:paraId="393C1015" w14:textId="657AA3D5" w:rsidR="005569EC" w:rsidRDefault="005569EC" w:rsidP="00133434">
      <w:pPr>
        <w:widowControl w:val="0"/>
        <w:autoSpaceDE w:val="0"/>
        <w:autoSpaceDN w:val="0"/>
        <w:adjustRightInd w:val="0"/>
        <w:ind w:left="-284" w:right="-489"/>
        <w:rPr>
          <w:rFonts w:asciiTheme="majorHAnsi" w:hAnsiTheme="majorHAnsi" w:cs="Calibri"/>
        </w:rPr>
      </w:pPr>
      <w:r>
        <w:rPr>
          <w:rFonts w:asciiTheme="majorHAnsi" w:hAnsiTheme="majorHAnsi" w:cs="Calibri"/>
        </w:rPr>
        <w:t xml:space="preserve">Similarly, salary scales are specific to each organization and they constitute </w:t>
      </w:r>
      <w:r w:rsidR="00317144">
        <w:rPr>
          <w:rFonts w:asciiTheme="majorHAnsi" w:hAnsiTheme="majorHAnsi" w:cs="Calibri"/>
        </w:rPr>
        <w:t>institutional</w:t>
      </w:r>
      <w:r>
        <w:rPr>
          <w:rFonts w:asciiTheme="majorHAnsi" w:hAnsiTheme="majorHAnsi" w:cs="Calibri"/>
        </w:rPr>
        <w:t xml:space="preserve"> policy as approved by the Board of the L/NA.  Negotiation on salary scales will not be allowed with donors</w:t>
      </w:r>
      <w:r w:rsidR="00FE2B22">
        <w:rPr>
          <w:rFonts w:asciiTheme="majorHAnsi" w:hAnsiTheme="majorHAnsi" w:cs="Calibri"/>
        </w:rPr>
        <w:t xml:space="preserve"> and partners</w:t>
      </w:r>
      <w:r>
        <w:rPr>
          <w:rFonts w:asciiTheme="majorHAnsi" w:hAnsiTheme="majorHAnsi" w:cs="Calibri"/>
        </w:rPr>
        <w:t>.</w:t>
      </w:r>
    </w:p>
    <w:p w14:paraId="283939C8" w14:textId="77777777" w:rsidR="00522A97" w:rsidRDefault="00522A97" w:rsidP="00133434">
      <w:pPr>
        <w:widowControl w:val="0"/>
        <w:autoSpaceDE w:val="0"/>
        <w:autoSpaceDN w:val="0"/>
        <w:adjustRightInd w:val="0"/>
        <w:ind w:left="-284" w:right="-489"/>
        <w:rPr>
          <w:rFonts w:asciiTheme="majorHAnsi" w:hAnsiTheme="majorHAnsi" w:cs="Calibri"/>
        </w:rPr>
      </w:pPr>
    </w:p>
    <w:p w14:paraId="52B70336" w14:textId="4C2A2235" w:rsidR="006B56D7" w:rsidRDefault="00B60741" w:rsidP="00133434">
      <w:pPr>
        <w:widowControl w:val="0"/>
        <w:autoSpaceDE w:val="0"/>
        <w:autoSpaceDN w:val="0"/>
        <w:adjustRightInd w:val="0"/>
        <w:ind w:left="-284" w:right="-489"/>
        <w:rPr>
          <w:rFonts w:ascii="Calibri" w:hAnsi="Calibri" w:cs="Calibri"/>
          <w:sz w:val="28"/>
          <w:szCs w:val="28"/>
          <w:lang w:val="en-US"/>
        </w:rPr>
      </w:pPr>
      <w:r>
        <w:rPr>
          <w:rFonts w:asciiTheme="majorHAnsi" w:hAnsiTheme="majorHAnsi" w:cs="Calibri"/>
          <w:b/>
          <w:bCs/>
          <w:sz w:val="28"/>
          <w:szCs w:val="28"/>
        </w:rPr>
        <w:t>6</w:t>
      </w:r>
      <w:r w:rsidR="006B56D7" w:rsidRPr="006B56D7">
        <w:rPr>
          <w:rFonts w:asciiTheme="majorHAnsi" w:hAnsiTheme="majorHAnsi" w:cs="Calibri"/>
          <w:b/>
          <w:bCs/>
          <w:sz w:val="28"/>
          <w:szCs w:val="28"/>
        </w:rPr>
        <w:t xml:space="preserve">. </w:t>
      </w:r>
      <w:r w:rsidR="009143D8">
        <w:rPr>
          <w:rFonts w:asciiTheme="majorHAnsi" w:hAnsiTheme="majorHAnsi" w:cs="Calibri"/>
          <w:b/>
          <w:bCs/>
          <w:sz w:val="28"/>
          <w:szCs w:val="28"/>
        </w:rPr>
        <w:t xml:space="preserve">Qualifications of </w:t>
      </w:r>
      <w:r w:rsidR="006B56D7" w:rsidRPr="006B56D7">
        <w:rPr>
          <w:rFonts w:asciiTheme="majorHAnsi" w:hAnsiTheme="majorHAnsi" w:cs="Calibri"/>
          <w:b/>
          <w:bCs/>
          <w:sz w:val="28"/>
          <w:szCs w:val="28"/>
        </w:rPr>
        <w:t>Audit</w:t>
      </w:r>
      <w:r w:rsidR="009143D8">
        <w:rPr>
          <w:rFonts w:asciiTheme="majorHAnsi" w:hAnsiTheme="majorHAnsi" w:cs="Calibri"/>
          <w:b/>
          <w:bCs/>
          <w:sz w:val="28"/>
          <w:szCs w:val="28"/>
        </w:rPr>
        <w:t>ors</w:t>
      </w:r>
    </w:p>
    <w:p w14:paraId="5BCF5DA8" w14:textId="77777777" w:rsidR="006B56D7" w:rsidRPr="006B56D7" w:rsidRDefault="006B56D7" w:rsidP="00133434">
      <w:pPr>
        <w:widowControl w:val="0"/>
        <w:autoSpaceDE w:val="0"/>
        <w:autoSpaceDN w:val="0"/>
        <w:adjustRightInd w:val="0"/>
        <w:ind w:left="-284" w:right="-489"/>
        <w:rPr>
          <w:rFonts w:asciiTheme="majorHAnsi" w:hAnsiTheme="majorHAnsi" w:cs="Calibri"/>
        </w:rPr>
      </w:pPr>
    </w:p>
    <w:p w14:paraId="3A8785C7" w14:textId="65FEF384" w:rsidR="003233DB" w:rsidRDefault="00E67B0E" w:rsidP="003233DB">
      <w:pPr>
        <w:widowControl w:val="0"/>
        <w:autoSpaceDE w:val="0"/>
        <w:autoSpaceDN w:val="0"/>
        <w:adjustRightInd w:val="0"/>
        <w:ind w:left="-284" w:right="-489"/>
        <w:rPr>
          <w:rFonts w:asciiTheme="majorHAnsi" w:hAnsiTheme="majorHAnsi" w:cs="Calibri"/>
        </w:rPr>
      </w:pPr>
      <w:r>
        <w:rPr>
          <w:rFonts w:asciiTheme="majorHAnsi" w:hAnsiTheme="majorHAnsi" w:cs="Calibri"/>
        </w:rPr>
        <w:t xml:space="preserve">All </w:t>
      </w:r>
      <w:r w:rsidR="006B56D7" w:rsidRPr="006B56D7">
        <w:rPr>
          <w:rFonts w:asciiTheme="majorHAnsi" w:hAnsiTheme="majorHAnsi" w:cs="Calibri"/>
        </w:rPr>
        <w:t xml:space="preserve">projects are implemented in line with </w:t>
      </w:r>
      <w:r>
        <w:rPr>
          <w:rFonts w:asciiTheme="majorHAnsi" w:hAnsiTheme="majorHAnsi" w:cs="Calibri"/>
        </w:rPr>
        <w:t xml:space="preserve">Turkish regulations, donor requirements and in acordance with the contract agreement.  It is crucial that the </w:t>
      </w:r>
      <w:r w:rsidR="006B56D7" w:rsidRPr="006B56D7">
        <w:rPr>
          <w:rFonts w:asciiTheme="majorHAnsi" w:hAnsiTheme="majorHAnsi" w:cs="Calibri"/>
        </w:rPr>
        <w:t>audit</w:t>
      </w:r>
      <w:r>
        <w:rPr>
          <w:rFonts w:asciiTheme="majorHAnsi" w:hAnsiTheme="majorHAnsi" w:cs="Calibri"/>
        </w:rPr>
        <w:t xml:space="preserve"> company </w:t>
      </w:r>
      <w:r w:rsidR="003233DB">
        <w:rPr>
          <w:rFonts w:asciiTheme="majorHAnsi" w:hAnsiTheme="majorHAnsi" w:cs="Calibri"/>
        </w:rPr>
        <w:t>appointed by the donor to undertake</w:t>
      </w:r>
      <w:r>
        <w:rPr>
          <w:rFonts w:asciiTheme="majorHAnsi" w:hAnsiTheme="majorHAnsi" w:cs="Calibri"/>
        </w:rPr>
        <w:t xml:space="preserve"> the external </w:t>
      </w:r>
      <w:r w:rsidR="006B56D7" w:rsidRPr="006B56D7">
        <w:rPr>
          <w:rFonts w:asciiTheme="majorHAnsi" w:hAnsiTheme="majorHAnsi" w:cs="Calibri"/>
        </w:rPr>
        <w:t xml:space="preserve">audit </w:t>
      </w:r>
      <w:r>
        <w:rPr>
          <w:rFonts w:asciiTheme="majorHAnsi" w:hAnsiTheme="majorHAnsi" w:cs="Calibri"/>
        </w:rPr>
        <w:t xml:space="preserve">of </w:t>
      </w:r>
      <w:r w:rsidR="006B56D7" w:rsidRPr="006B56D7">
        <w:rPr>
          <w:rFonts w:asciiTheme="majorHAnsi" w:hAnsiTheme="majorHAnsi" w:cs="Calibri"/>
        </w:rPr>
        <w:t xml:space="preserve">these </w:t>
      </w:r>
      <w:r>
        <w:rPr>
          <w:rFonts w:asciiTheme="majorHAnsi" w:hAnsiTheme="majorHAnsi" w:cs="Calibri"/>
        </w:rPr>
        <w:t xml:space="preserve">projects </w:t>
      </w:r>
      <w:r w:rsidR="006B56D7" w:rsidRPr="006B56D7">
        <w:rPr>
          <w:rFonts w:asciiTheme="majorHAnsi" w:hAnsiTheme="majorHAnsi" w:cs="Calibri"/>
        </w:rPr>
        <w:t>have an equal knowledge</w:t>
      </w:r>
      <w:r w:rsidR="00E559CE">
        <w:rPr>
          <w:rFonts w:asciiTheme="majorHAnsi" w:hAnsiTheme="majorHAnsi" w:cs="Calibri"/>
        </w:rPr>
        <w:t xml:space="preserve"> of</w:t>
      </w:r>
      <w:r w:rsidR="00A4722D">
        <w:rPr>
          <w:rFonts w:asciiTheme="majorHAnsi" w:hAnsiTheme="majorHAnsi" w:cs="Calibri"/>
        </w:rPr>
        <w:t xml:space="preserve"> Turkish law, while applying </w:t>
      </w:r>
      <w:r w:rsidR="003233DB">
        <w:rPr>
          <w:rFonts w:asciiTheme="majorHAnsi" w:hAnsiTheme="majorHAnsi" w:cs="Calibri"/>
        </w:rPr>
        <w:t>i</w:t>
      </w:r>
      <w:r w:rsidR="003233DB" w:rsidRPr="003233DB">
        <w:rPr>
          <w:rFonts w:asciiTheme="majorHAnsi" w:hAnsiTheme="majorHAnsi" w:cs="Calibri"/>
        </w:rPr>
        <w:t>nternational accounting and auditing standards</w:t>
      </w:r>
      <w:r w:rsidR="003233DB">
        <w:rPr>
          <w:rFonts w:asciiTheme="majorHAnsi" w:hAnsiTheme="majorHAnsi" w:cs="Calibri"/>
        </w:rPr>
        <w:t>.</w:t>
      </w:r>
    </w:p>
    <w:p w14:paraId="0962ADAB" w14:textId="77777777" w:rsidR="003233DB" w:rsidRDefault="003233DB" w:rsidP="003233DB">
      <w:pPr>
        <w:widowControl w:val="0"/>
        <w:autoSpaceDE w:val="0"/>
        <w:autoSpaceDN w:val="0"/>
        <w:adjustRightInd w:val="0"/>
        <w:ind w:left="-284" w:right="-489"/>
        <w:rPr>
          <w:rFonts w:asciiTheme="majorHAnsi" w:hAnsiTheme="majorHAnsi" w:cs="Calibri"/>
        </w:rPr>
      </w:pPr>
    </w:p>
    <w:p w14:paraId="307A699A" w14:textId="1E1CF0EC" w:rsidR="006B56D7" w:rsidRDefault="006B56D7" w:rsidP="003233DB">
      <w:pPr>
        <w:widowControl w:val="0"/>
        <w:autoSpaceDE w:val="0"/>
        <w:autoSpaceDN w:val="0"/>
        <w:adjustRightInd w:val="0"/>
        <w:ind w:left="-284" w:right="-489"/>
        <w:rPr>
          <w:rFonts w:asciiTheme="majorHAnsi" w:hAnsiTheme="majorHAnsi" w:cs="Calibri"/>
        </w:rPr>
      </w:pPr>
      <w:r w:rsidRPr="006B56D7">
        <w:rPr>
          <w:rFonts w:asciiTheme="majorHAnsi" w:hAnsiTheme="majorHAnsi" w:cs="Calibri"/>
        </w:rPr>
        <w:t>Otherwise, explaining these laws one by one to the auditors who are not familiar with Turkish regulations creates loss of time and effort during the audit</w:t>
      </w:r>
      <w:r w:rsidR="003233DB">
        <w:rPr>
          <w:rFonts w:asciiTheme="majorHAnsi" w:hAnsiTheme="majorHAnsi" w:cs="Calibri"/>
        </w:rPr>
        <w:t xml:space="preserve">, which sometimes results in </w:t>
      </w:r>
      <w:r w:rsidR="00E559CE">
        <w:rPr>
          <w:rFonts w:asciiTheme="majorHAnsi" w:hAnsiTheme="majorHAnsi" w:cs="Calibri"/>
        </w:rPr>
        <w:t xml:space="preserve">expenditures </w:t>
      </w:r>
      <w:r w:rsidR="003233DB">
        <w:rPr>
          <w:rFonts w:asciiTheme="majorHAnsi" w:hAnsiTheme="majorHAnsi" w:cs="Calibri"/>
        </w:rPr>
        <w:t>found to be ineligible while in effect they are not</w:t>
      </w:r>
      <w:r w:rsidRPr="006B56D7">
        <w:rPr>
          <w:rFonts w:asciiTheme="majorHAnsi" w:hAnsiTheme="majorHAnsi" w:cs="Calibri"/>
        </w:rPr>
        <w:t xml:space="preserve">. </w:t>
      </w:r>
      <w:r w:rsidR="003233DB">
        <w:rPr>
          <w:rFonts w:asciiTheme="majorHAnsi" w:hAnsiTheme="majorHAnsi" w:cs="Calibri"/>
        </w:rPr>
        <w:t xml:space="preserve"> </w:t>
      </w:r>
      <w:r w:rsidRPr="006B56D7">
        <w:rPr>
          <w:rFonts w:asciiTheme="majorHAnsi" w:hAnsiTheme="majorHAnsi" w:cs="Calibri"/>
        </w:rPr>
        <w:t xml:space="preserve">The auditors </w:t>
      </w:r>
      <w:r>
        <w:rPr>
          <w:rFonts w:asciiTheme="majorHAnsi" w:hAnsiTheme="majorHAnsi" w:cs="Calibri"/>
        </w:rPr>
        <w:t xml:space="preserve">auditing these projects </w:t>
      </w:r>
      <w:r w:rsidRPr="006B56D7">
        <w:rPr>
          <w:rFonts w:asciiTheme="majorHAnsi" w:hAnsiTheme="majorHAnsi" w:cs="Calibri"/>
        </w:rPr>
        <w:t>should have sufficient knowledge</w:t>
      </w:r>
      <w:r w:rsidR="00E559CE">
        <w:rPr>
          <w:rFonts w:asciiTheme="majorHAnsi" w:hAnsiTheme="majorHAnsi" w:cs="Calibri"/>
        </w:rPr>
        <w:t xml:space="preserve"> of local laws and practices</w:t>
      </w:r>
      <w:r w:rsidRPr="006B56D7">
        <w:rPr>
          <w:rFonts w:asciiTheme="majorHAnsi" w:hAnsiTheme="majorHAnsi" w:cs="Calibri"/>
        </w:rPr>
        <w:t xml:space="preserve">, </w:t>
      </w:r>
      <w:r>
        <w:rPr>
          <w:rFonts w:asciiTheme="majorHAnsi" w:hAnsiTheme="majorHAnsi" w:cs="Calibri"/>
        </w:rPr>
        <w:t xml:space="preserve">and be able to operate </w:t>
      </w:r>
      <w:r w:rsidRPr="006B56D7">
        <w:rPr>
          <w:rFonts w:asciiTheme="majorHAnsi" w:hAnsiTheme="majorHAnsi" w:cs="Calibri"/>
        </w:rPr>
        <w:t>without expe</w:t>
      </w:r>
      <w:r w:rsidR="00E559CE">
        <w:rPr>
          <w:rFonts w:asciiTheme="majorHAnsi" w:hAnsiTheme="majorHAnsi" w:cs="Calibri"/>
        </w:rPr>
        <w:t>riencing any language barriers.</w:t>
      </w:r>
    </w:p>
    <w:p w14:paraId="04B5D04B" w14:textId="5D5C8038" w:rsidR="00E52B1E" w:rsidRPr="003233DB" w:rsidRDefault="00E52B1E" w:rsidP="003233DB">
      <w:pPr>
        <w:widowControl w:val="0"/>
        <w:autoSpaceDE w:val="0"/>
        <w:autoSpaceDN w:val="0"/>
        <w:adjustRightInd w:val="0"/>
        <w:ind w:left="-284" w:right="-489"/>
        <w:rPr>
          <w:rFonts w:asciiTheme="majorHAnsi" w:hAnsiTheme="majorHAnsi" w:cs="Calibri"/>
        </w:rPr>
      </w:pPr>
      <w:bookmarkStart w:id="0" w:name="_GoBack"/>
      <w:bookmarkEnd w:id="0"/>
    </w:p>
    <w:p w14:paraId="6331FE8D" w14:textId="77777777" w:rsidR="006B56D7" w:rsidRPr="00267D69" w:rsidRDefault="006B56D7" w:rsidP="00133434">
      <w:pPr>
        <w:widowControl w:val="0"/>
        <w:autoSpaceDE w:val="0"/>
        <w:autoSpaceDN w:val="0"/>
        <w:adjustRightInd w:val="0"/>
        <w:ind w:left="-284" w:right="-489"/>
        <w:rPr>
          <w:rFonts w:asciiTheme="majorHAnsi" w:hAnsiTheme="majorHAnsi" w:cs="Calibri"/>
        </w:rPr>
      </w:pPr>
    </w:p>
    <w:p w14:paraId="3EE115D4" w14:textId="2206E524" w:rsidR="00BC1539" w:rsidRPr="00E559CE" w:rsidRDefault="00BC1539" w:rsidP="00133434">
      <w:pPr>
        <w:widowControl w:val="0"/>
        <w:autoSpaceDE w:val="0"/>
        <w:autoSpaceDN w:val="0"/>
        <w:adjustRightInd w:val="0"/>
        <w:ind w:left="-284" w:right="-489"/>
        <w:rPr>
          <w:rFonts w:asciiTheme="majorHAnsi" w:hAnsiTheme="majorHAnsi" w:cs="Calibri"/>
          <w:i/>
          <w:color w:val="FF0000"/>
        </w:rPr>
      </w:pPr>
    </w:p>
    <w:sectPr w:rsidR="00BC1539" w:rsidRPr="00E559CE" w:rsidSect="007062C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Xˇ">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7FE148E"/>
    <w:lvl w:ilvl="0" w:tplc="CE4CAFAC">
      <w:start w:val="1"/>
      <w:numFmt w:val="decimal"/>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AC6E5A"/>
    <w:multiLevelType w:val="hybridMultilevel"/>
    <w:tmpl w:val="9B0CA1DE"/>
    <w:lvl w:ilvl="0" w:tplc="22E65E7C">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83251F"/>
    <w:multiLevelType w:val="hybridMultilevel"/>
    <w:tmpl w:val="40DA5986"/>
    <w:lvl w:ilvl="0" w:tplc="22E65E7C">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8211A7"/>
    <w:multiLevelType w:val="hybridMultilevel"/>
    <w:tmpl w:val="D8E68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8B6240"/>
    <w:multiLevelType w:val="hybridMultilevel"/>
    <w:tmpl w:val="E5465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664BE"/>
    <w:multiLevelType w:val="hybridMultilevel"/>
    <w:tmpl w:val="577240EC"/>
    <w:lvl w:ilvl="0" w:tplc="22E65E7C">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C6296F"/>
    <w:multiLevelType w:val="hybridMultilevel"/>
    <w:tmpl w:val="7D6C1396"/>
    <w:lvl w:ilvl="0" w:tplc="22E65E7C">
      <w:numFmt w:val="bullet"/>
      <w:lvlText w:val=""/>
      <w:lvlJc w:val="left"/>
      <w:pPr>
        <w:ind w:left="720" w:hanging="360"/>
      </w:pPr>
      <w:rPr>
        <w:rFonts w:ascii="Symbol" w:eastAsiaTheme="minorEastAsia"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D7"/>
    <w:rsid w:val="00004ABB"/>
    <w:rsid w:val="00012D24"/>
    <w:rsid w:val="00063A75"/>
    <w:rsid w:val="00077FBE"/>
    <w:rsid w:val="00087A2C"/>
    <w:rsid w:val="000A6CAA"/>
    <w:rsid w:val="000B1C31"/>
    <w:rsid w:val="000F38DD"/>
    <w:rsid w:val="001029F3"/>
    <w:rsid w:val="0010422D"/>
    <w:rsid w:val="00112423"/>
    <w:rsid w:val="00114E7A"/>
    <w:rsid w:val="00116407"/>
    <w:rsid w:val="00133434"/>
    <w:rsid w:val="00136DAE"/>
    <w:rsid w:val="00140FA4"/>
    <w:rsid w:val="00142EEA"/>
    <w:rsid w:val="00154617"/>
    <w:rsid w:val="001A52D7"/>
    <w:rsid w:val="001A61C2"/>
    <w:rsid w:val="001B37CC"/>
    <w:rsid w:val="001B7FF2"/>
    <w:rsid w:val="001D317D"/>
    <w:rsid w:val="00211967"/>
    <w:rsid w:val="00214408"/>
    <w:rsid w:val="00267D69"/>
    <w:rsid w:val="00286375"/>
    <w:rsid w:val="0029093A"/>
    <w:rsid w:val="0029700A"/>
    <w:rsid w:val="002A2EA9"/>
    <w:rsid w:val="002A6087"/>
    <w:rsid w:val="002C689E"/>
    <w:rsid w:val="002D055B"/>
    <w:rsid w:val="002D3363"/>
    <w:rsid w:val="002D66C7"/>
    <w:rsid w:val="002E65A3"/>
    <w:rsid w:val="002F044C"/>
    <w:rsid w:val="002F45A3"/>
    <w:rsid w:val="002F57F7"/>
    <w:rsid w:val="003017A6"/>
    <w:rsid w:val="003062D0"/>
    <w:rsid w:val="00315B22"/>
    <w:rsid w:val="003166EF"/>
    <w:rsid w:val="00317144"/>
    <w:rsid w:val="003177A4"/>
    <w:rsid w:val="003233DB"/>
    <w:rsid w:val="00330C4E"/>
    <w:rsid w:val="003653CC"/>
    <w:rsid w:val="00365DE2"/>
    <w:rsid w:val="003956E0"/>
    <w:rsid w:val="004307B2"/>
    <w:rsid w:val="004412FA"/>
    <w:rsid w:val="0045356F"/>
    <w:rsid w:val="004810A3"/>
    <w:rsid w:val="00495C96"/>
    <w:rsid w:val="004C5C67"/>
    <w:rsid w:val="004D348D"/>
    <w:rsid w:val="004D3501"/>
    <w:rsid w:val="004D44EE"/>
    <w:rsid w:val="004F1224"/>
    <w:rsid w:val="004F3C24"/>
    <w:rsid w:val="00516240"/>
    <w:rsid w:val="00522A97"/>
    <w:rsid w:val="005569EC"/>
    <w:rsid w:val="005653CD"/>
    <w:rsid w:val="005679AA"/>
    <w:rsid w:val="00567BC9"/>
    <w:rsid w:val="005825DE"/>
    <w:rsid w:val="005844AE"/>
    <w:rsid w:val="005A69E1"/>
    <w:rsid w:val="005C7853"/>
    <w:rsid w:val="00601A19"/>
    <w:rsid w:val="00606B5A"/>
    <w:rsid w:val="006457CD"/>
    <w:rsid w:val="006772D5"/>
    <w:rsid w:val="006863D8"/>
    <w:rsid w:val="00692031"/>
    <w:rsid w:val="006A407F"/>
    <w:rsid w:val="006B56D7"/>
    <w:rsid w:val="007062C7"/>
    <w:rsid w:val="00786CA4"/>
    <w:rsid w:val="007964F3"/>
    <w:rsid w:val="007A174C"/>
    <w:rsid w:val="007B4F5B"/>
    <w:rsid w:val="007C17BD"/>
    <w:rsid w:val="007F2F4F"/>
    <w:rsid w:val="007F6A37"/>
    <w:rsid w:val="00892A02"/>
    <w:rsid w:val="008A0ABF"/>
    <w:rsid w:val="008E0914"/>
    <w:rsid w:val="008F2DFE"/>
    <w:rsid w:val="0090048C"/>
    <w:rsid w:val="00900534"/>
    <w:rsid w:val="00907208"/>
    <w:rsid w:val="009143D8"/>
    <w:rsid w:val="00922215"/>
    <w:rsid w:val="0094622D"/>
    <w:rsid w:val="00971BF1"/>
    <w:rsid w:val="009A61DB"/>
    <w:rsid w:val="009B3289"/>
    <w:rsid w:val="009E280A"/>
    <w:rsid w:val="00A320EA"/>
    <w:rsid w:val="00A4722D"/>
    <w:rsid w:val="00A60A4F"/>
    <w:rsid w:val="00A806F4"/>
    <w:rsid w:val="00A83BA7"/>
    <w:rsid w:val="00A86BE9"/>
    <w:rsid w:val="00AA15B9"/>
    <w:rsid w:val="00AB1757"/>
    <w:rsid w:val="00B05B97"/>
    <w:rsid w:val="00B50CD2"/>
    <w:rsid w:val="00B60741"/>
    <w:rsid w:val="00B6115C"/>
    <w:rsid w:val="00B7421F"/>
    <w:rsid w:val="00B762BD"/>
    <w:rsid w:val="00B92A83"/>
    <w:rsid w:val="00BC1539"/>
    <w:rsid w:val="00BF0440"/>
    <w:rsid w:val="00C16FB0"/>
    <w:rsid w:val="00C305EA"/>
    <w:rsid w:val="00C863FA"/>
    <w:rsid w:val="00CA7B32"/>
    <w:rsid w:val="00CB1BD8"/>
    <w:rsid w:val="00CB45B5"/>
    <w:rsid w:val="00D170FC"/>
    <w:rsid w:val="00D31519"/>
    <w:rsid w:val="00D35256"/>
    <w:rsid w:val="00D76FE5"/>
    <w:rsid w:val="00D86922"/>
    <w:rsid w:val="00D874C3"/>
    <w:rsid w:val="00DB25CF"/>
    <w:rsid w:val="00DD721A"/>
    <w:rsid w:val="00DF7BA4"/>
    <w:rsid w:val="00E00011"/>
    <w:rsid w:val="00E00C99"/>
    <w:rsid w:val="00E03A05"/>
    <w:rsid w:val="00E17442"/>
    <w:rsid w:val="00E37D6A"/>
    <w:rsid w:val="00E44219"/>
    <w:rsid w:val="00E50885"/>
    <w:rsid w:val="00E52B1E"/>
    <w:rsid w:val="00E559CE"/>
    <w:rsid w:val="00E67B0E"/>
    <w:rsid w:val="00E754B9"/>
    <w:rsid w:val="00E76A4B"/>
    <w:rsid w:val="00E86E77"/>
    <w:rsid w:val="00EA3FE4"/>
    <w:rsid w:val="00ED5505"/>
    <w:rsid w:val="00F0460D"/>
    <w:rsid w:val="00F1330D"/>
    <w:rsid w:val="00F20CFE"/>
    <w:rsid w:val="00F27089"/>
    <w:rsid w:val="00F4626A"/>
    <w:rsid w:val="00F75183"/>
    <w:rsid w:val="00F814E2"/>
    <w:rsid w:val="00F95B5F"/>
    <w:rsid w:val="00FC536F"/>
    <w:rsid w:val="00FD5510"/>
    <w:rsid w:val="00FE2B22"/>
    <w:rsid w:val="00FF174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79C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1029F3"/>
    <w:pPr>
      <w:spacing w:before="100" w:beforeAutospacing="1" w:after="100" w:afterAutospacing="1"/>
      <w:outlineLvl w:val="2"/>
    </w:pPr>
    <w:rPr>
      <w:rFonts w:ascii="Times New Roman" w:hAnsi="Times New Roman" w:cs="Times New Roman"/>
      <w:b/>
      <w:bCs/>
      <w:sz w:val="27"/>
      <w:szCs w:val="27"/>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4617"/>
    <w:pPr>
      <w:ind w:left="720"/>
      <w:contextualSpacing/>
    </w:pPr>
  </w:style>
  <w:style w:type="character" w:customStyle="1" w:styleId="apple-converted-space">
    <w:name w:val="apple-converted-space"/>
    <w:basedOn w:val="VarsaylanParagrafYazTipi"/>
    <w:rsid w:val="00BC1539"/>
  </w:style>
  <w:style w:type="character" w:styleId="AklamaBavurusu">
    <w:name w:val="annotation reference"/>
    <w:basedOn w:val="VarsaylanParagrafYazTipi"/>
    <w:uiPriority w:val="99"/>
    <w:semiHidden/>
    <w:unhideWhenUsed/>
    <w:rsid w:val="001B7FF2"/>
    <w:rPr>
      <w:sz w:val="18"/>
      <w:szCs w:val="18"/>
    </w:rPr>
  </w:style>
  <w:style w:type="paragraph" w:styleId="AklamaMetni">
    <w:name w:val="annotation text"/>
    <w:basedOn w:val="Normal"/>
    <w:link w:val="AklamaMetniChar"/>
    <w:uiPriority w:val="99"/>
    <w:semiHidden/>
    <w:unhideWhenUsed/>
    <w:rsid w:val="001B7FF2"/>
  </w:style>
  <w:style w:type="character" w:customStyle="1" w:styleId="AklamaMetniChar">
    <w:name w:val="Açıklama Metni Char"/>
    <w:basedOn w:val="VarsaylanParagrafYazTipi"/>
    <w:link w:val="AklamaMetni"/>
    <w:uiPriority w:val="99"/>
    <w:semiHidden/>
    <w:rsid w:val="001B7FF2"/>
  </w:style>
  <w:style w:type="paragraph" w:styleId="AklamaKonusu">
    <w:name w:val="annotation subject"/>
    <w:basedOn w:val="AklamaMetni"/>
    <w:next w:val="AklamaMetni"/>
    <w:link w:val="AklamaKonusuChar"/>
    <w:uiPriority w:val="99"/>
    <w:semiHidden/>
    <w:unhideWhenUsed/>
    <w:rsid w:val="001B7FF2"/>
    <w:rPr>
      <w:b/>
      <w:bCs/>
      <w:sz w:val="20"/>
      <w:szCs w:val="20"/>
    </w:rPr>
  </w:style>
  <w:style w:type="character" w:customStyle="1" w:styleId="AklamaKonusuChar">
    <w:name w:val="Açıklama Konusu Char"/>
    <w:basedOn w:val="AklamaMetniChar"/>
    <w:link w:val="AklamaKonusu"/>
    <w:uiPriority w:val="99"/>
    <w:semiHidden/>
    <w:rsid w:val="001B7FF2"/>
    <w:rPr>
      <w:b/>
      <w:bCs/>
      <w:sz w:val="20"/>
      <w:szCs w:val="20"/>
    </w:rPr>
  </w:style>
  <w:style w:type="paragraph" w:styleId="BalonMetni">
    <w:name w:val="Balloon Text"/>
    <w:basedOn w:val="Normal"/>
    <w:link w:val="BalonMetniChar"/>
    <w:uiPriority w:val="99"/>
    <w:semiHidden/>
    <w:unhideWhenUsed/>
    <w:rsid w:val="001B7FF2"/>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B7FF2"/>
    <w:rPr>
      <w:rFonts w:ascii="Times New Roman" w:hAnsi="Times New Roman" w:cs="Times New Roman"/>
      <w:sz w:val="18"/>
      <w:szCs w:val="18"/>
    </w:rPr>
  </w:style>
  <w:style w:type="character" w:customStyle="1" w:styleId="Balk3Char">
    <w:name w:val="Başlık 3 Char"/>
    <w:basedOn w:val="VarsaylanParagrafYazTipi"/>
    <w:link w:val="Balk3"/>
    <w:uiPriority w:val="9"/>
    <w:rsid w:val="001029F3"/>
    <w:rPr>
      <w:rFonts w:ascii="Times New Roman" w:hAnsi="Times New Roman" w:cs="Times New Roman"/>
      <w:b/>
      <w:bCs/>
      <w:sz w:val="27"/>
      <w:szCs w:val="27"/>
      <w:lang w:val="en-GB" w:eastAsia="en-GB"/>
    </w:rPr>
  </w:style>
  <w:style w:type="character" w:styleId="Vurgu">
    <w:name w:val="Emphasis"/>
    <w:basedOn w:val="VarsaylanParagrafYazTipi"/>
    <w:uiPriority w:val="20"/>
    <w:qFormat/>
    <w:rsid w:val="00323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706353">
      <w:bodyDiv w:val="1"/>
      <w:marLeft w:val="0"/>
      <w:marRight w:val="0"/>
      <w:marTop w:val="0"/>
      <w:marBottom w:val="0"/>
      <w:divBdr>
        <w:top w:val="none" w:sz="0" w:space="0" w:color="auto"/>
        <w:left w:val="none" w:sz="0" w:space="0" w:color="auto"/>
        <w:bottom w:val="none" w:sz="0" w:space="0" w:color="auto"/>
        <w:right w:val="none" w:sz="0" w:space="0" w:color="auto"/>
      </w:divBdr>
    </w:div>
    <w:div w:id="1877543668">
      <w:bodyDiv w:val="1"/>
      <w:marLeft w:val="0"/>
      <w:marRight w:val="0"/>
      <w:marTop w:val="0"/>
      <w:marBottom w:val="0"/>
      <w:divBdr>
        <w:top w:val="none" w:sz="0" w:space="0" w:color="auto"/>
        <w:left w:val="none" w:sz="0" w:space="0" w:color="auto"/>
        <w:bottom w:val="none" w:sz="0" w:space="0" w:color="auto"/>
        <w:right w:val="none" w:sz="0" w:space="0" w:color="auto"/>
      </w:divBdr>
    </w:div>
    <w:div w:id="192468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Vardar</dc:creator>
  <cp:lastModifiedBy>Sefik Serkan DENLI</cp:lastModifiedBy>
  <cp:revision>7</cp:revision>
  <dcterms:created xsi:type="dcterms:W3CDTF">2019-07-24T14:15:00Z</dcterms:created>
  <dcterms:modified xsi:type="dcterms:W3CDTF">2020-12-06T21:23:00Z</dcterms:modified>
</cp:coreProperties>
</file>